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95"/>
        <w:gridCol w:w="6655"/>
      </w:tblGrid>
      <w:tr w:rsidR="00D01127" w:rsidTr="00D01127">
        <w:tc>
          <w:tcPr>
            <w:tcW w:w="2695" w:type="dxa"/>
          </w:tcPr>
          <w:p w:rsidR="00D01127" w:rsidRDefault="00D01127" w:rsidP="00D01127">
            <w:pPr>
              <w:ind w:firstLine="0"/>
            </w:pPr>
            <w:r>
              <w:t>Company:</w:t>
            </w:r>
          </w:p>
        </w:tc>
        <w:tc>
          <w:tcPr>
            <w:tcW w:w="6655" w:type="dxa"/>
          </w:tcPr>
          <w:p w:rsidR="00D01127" w:rsidRDefault="00D01127">
            <w:pPr>
              <w:ind w:firstLine="0"/>
            </w:pPr>
            <w:r>
              <w:t>The Johns Hopkins University Applied Physics Laboratory</w:t>
            </w:r>
          </w:p>
        </w:tc>
      </w:tr>
      <w:tr w:rsidR="00D01127" w:rsidTr="00D01127">
        <w:tc>
          <w:tcPr>
            <w:tcW w:w="2695" w:type="dxa"/>
          </w:tcPr>
          <w:p w:rsidR="00D01127" w:rsidRDefault="00D01127" w:rsidP="00D01127">
            <w:pPr>
              <w:ind w:firstLine="0"/>
            </w:pPr>
            <w:r>
              <w:t>Location:</w:t>
            </w:r>
          </w:p>
        </w:tc>
        <w:tc>
          <w:tcPr>
            <w:tcW w:w="6655" w:type="dxa"/>
          </w:tcPr>
          <w:p w:rsidR="00D01127" w:rsidRDefault="00D01127">
            <w:pPr>
              <w:ind w:firstLine="0"/>
            </w:pPr>
            <w:r>
              <w:t>Laurel, MD</w:t>
            </w:r>
          </w:p>
        </w:tc>
      </w:tr>
      <w:tr w:rsidR="00D01127" w:rsidTr="00D01127">
        <w:tc>
          <w:tcPr>
            <w:tcW w:w="2695" w:type="dxa"/>
          </w:tcPr>
          <w:p w:rsidR="00D01127" w:rsidRDefault="00EF6339" w:rsidP="00D01127">
            <w:pPr>
              <w:ind w:firstLine="0"/>
            </w:pPr>
            <w:r>
              <w:t>Program Summary:</w:t>
            </w:r>
          </w:p>
        </w:tc>
        <w:tc>
          <w:tcPr>
            <w:tcW w:w="6655" w:type="dxa"/>
          </w:tcPr>
          <w:p w:rsidR="00D01127" w:rsidRDefault="00D01127" w:rsidP="00D01127">
            <w:pPr>
              <w:ind w:left="288" w:hanging="288"/>
            </w:pPr>
            <w:r w:rsidRPr="00D01127">
              <w:rPr>
                <w:b/>
                <w:bCs/>
              </w:rPr>
              <w:t>APL College Summer Intern Program</w:t>
            </w:r>
            <w:r w:rsidRPr="00D01127">
              <w:rPr>
                <w:b/>
                <w:bCs/>
              </w:rPr>
              <w:t>:</w:t>
            </w:r>
            <w:r>
              <w:t xml:space="preserve"> </w:t>
            </w:r>
            <w:r>
              <w:t>APL offers science and engineering internships each summer. The Laboratory’s internship program provides practical work experience and an introduction to APL. Students spend the summer working with APL scientists and engineers, conducting research, developing leadership skills, and growing professionally.</w:t>
            </w:r>
          </w:p>
          <w:p w:rsidR="00D01127" w:rsidRDefault="00D01127" w:rsidP="00D01127">
            <w:pPr>
              <w:ind w:left="288" w:hanging="288"/>
            </w:pPr>
            <w:r w:rsidRPr="00D01127">
              <w:rPr>
                <w:b/>
                <w:bCs/>
              </w:rPr>
              <w:t>The ATLAS Program</w:t>
            </w:r>
            <w:r w:rsidRPr="00D01127">
              <w:rPr>
                <w:b/>
                <w:bCs/>
              </w:rPr>
              <w:t>:</w:t>
            </w:r>
            <w:r>
              <w:t xml:space="preserve"> </w:t>
            </w:r>
            <w:r>
              <w:t>The APL Technology Leadership Scholars (ATLAS) program provides a unique educational opportunity for a select group of students from Historically Black Colleges and Universities, Hispanic-Serving Institutions, and Tribal Colleges and Universities.</w:t>
            </w:r>
          </w:p>
          <w:p w:rsidR="00D01127" w:rsidRDefault="00D01127" w:rsidP="00D01127">
            <w:pPr>
              <w:ind w:left="288" w:hanging="288"/>
            </w:pPr>
            <w:r w:rsidRPr="00D01127">
              <w:rPr>
                <w:b/>
                <w:bCs/>
              </w:rPr>
              <w:t>RISE@APL (Research Internships in Science and Engineering) Program for JHU Students</w:t>
            </w:r>
            <w:r w:rsidRPr="00D01127">
              <w:rPr>
                <w:b/>
                <w:bCs/>
              </w:rPr>
              <w:t>:</w:t>
            </w:r>
            <w:r>
              <w:t xml:space="preserve"> </w:t>
            </w:r>
            <w:r>
              <w:t>The RISE@APL program for JHU students provides a unique educational opportunity for a select group of students from The Johns Hopkins University.</w:t>
            </w:r>
          </w:p>
          <w:p w:rsidR="00D01127" w:rsidRDefault="00D01127" w:rsidP="00D01127">
            <w:pPr>
              <w:ind w:left="288" w:hanging="288"/>
            </w:pPr>
            <w:r w:rsidRPr="00D01127">
              <w:rPr>
                <w:b/>
                <w:bCs/>
              </w:rPr>
              <w:t>ASPIRE High School Intern Program</w:t>
            </w:r>
            <w:r w:rsidRPr="00D01127">
              <w:rPr>
                <w:b/>
                <w:bCs/>
              </w:rPr>
              <w:t>:</w:t>
            </w:r>
            <w:r>
              <w:t xml:space="preserve"> </w:t>
            </w:r>
            <w:r>
              <w:t>The ASPIRE internship program exposes high school juniors and seniors to real-world applications of what they are learning in school while also giving them hands-on work experience.</w:t>
            </w:r>
          </w:p>
        </w:tc>
      </w:tr>
      <w:tr w:rsidR="00D01127" w:rsidTr="00D01127">
        <w:tc>
          <w:tcPr>
            <w:tcW w:w="2695" w:type="dxa"/>
          </w:tcPr>
          <w:p w:rsidR="00D01127" w:rsidRDefault="00D01127">
            <w:pPr>
              <w:ind w:firstLine="0"/>
            </w:pPr>
            <w:r>
              <w:t>Application Areas:</w:t>
            </w:r>
          </w:p>
        </w:tc>
        <w:tc>
          <w:tcPr>
            <w:tcW w:w="6655" w:type="dxa"/>
          </w:tcPr>
          <w:p w:rsidR="00D01127" w:rsidRDefault="00D01127">
            <w:pPr>
              <w:ind w:firstLine="0"/>
            </w:pPr>
            <w:r>
              <w:t>Defense, Space Exploration, Biomedical Technology</w:t>
            </w:r>
          </w:p>
        </w:tc>
      </w:tr>
      <w:tr w:rsidR="00DB7884" w:rsidTr="00D01127">
        <w:tc>
          <w:tcPr>
            <w:tcW w:w="2695" w:type="dxa"/>
          </w:tcPr>
          <w:p w:rsidR="00DB7884" w:rsidRDefault="00DB7884" w:rsidP="00DB7884">
            <w:pPr>
              <w:ind w:firstLine="0"/>
            </w:pPr>
            <w:r>
              <w:t>Website:</w:t>
            </w:r>
          </w:p>
        </w:tc>
        <w:tc>
          <w:tcPr>
            <w:tcW w:w="6655" w:type="dxa"/>
          </w:tcPr>
          <w:p w:rsidR="00DB7884" w:rsidRDefault="00DB7884" w:rsidP="00DB7884">
            <w:pPr>
              <w:ind w:firstLine="0"/>
            </w:pPr>
            <w:r w:rsidRPr="00D01127">
              <w:t>https://www.jhuapl.edu/Careers/Internships</w:t>
            </w:r>
          </w:p>
        </w:tc>
      </w:tr>
      <w:tr w:rsidR="00D01127" w:rsidTr="00D01127">
        <w:tc>
          <w:tcPr>
            <w:tcW w:w="2695" w:type="dxa"/>
          </w:tcPr>
          <w:p w:rsidR="00D01127" w:rsidRDefault="00D01127" w:rsidP="00D01127">
            <w:pPr>
              <w:ind w:firstLine="0"/>
            </w:pPr>
            <w:r>
              <w:t>Application Submissions:</w:t>
            </w:r>
          </w:p>
        </w:tc>
        <w:tc>
          <w:tcPr>
            <w:tcW w:w="6655" w:type="dxa"/>
          </w:tcPr>
          <w:p w:rsidR="00D01127" w:rsidRDefault="00D01127" w:rsidP="00D01127">
            <w:pPr>
              <w:ind w:firstLine="0"/>
            </w:pPr>
            <w:r w:rsidRPr="00D01127">
              <w:t>https://www.jhuapl.edu/Careers/Internships</w:t>
            </w:r>
          </w:p>
        </w:tc>
      </w:tr>
      <w:tr w:rsidR="00D01127" w:rsidTr="00D01127">
        <w:tc>
          <w:tcPr>
            <w:tcW w:w="2695" w:type="dxa"/>
          </w:tcPr>
          <w:p w:rsidR="00D01127" w:rsidRDefault="00D01127" w:rsidP="00D01127">
            <w:pPr>
              <w:ind w:firstLine="0"/>
            </w:pPr>
            <w:r>
              <w:t xml:space="preserve">Application </w:t>
            </w:r>
            <w:r>
              <w:t>Window</w:t>
            </w:r>
            <w:r>
              <w:t>:</w:t>
            </w:r>
          </w:p>
        </w:tc>
        <w:tc>
          <w:tcPr>
            <w:tcW w:w="6655" w:type="dxa"/>
          </w:tcPr>
          <w:p w:rsidR="00D01127" w:rsidRDefault="00D01127" w:rsidP="00D01127">
            <w:pPr>
              <w:ind w:firstLine="0"/>
            </w:pPr>
            <w:r>
              <w:t>September 1 to March 31</w:t>
            </w:r>
          </w:p>
        </w:tc>
      </w:tr>
    </w:tbl>
    <w:p w:rsidR="00D01127" w:rsidRDefault="00D01127"/>
    <w:p w:rsidR="00DB7884" w:rsidRDefault="00DB7884">
      <w:pPr>
        <w:spacing w:after="0"/>
        <w:ind w:firstLine="0"/>
      </w:pPr>
      <w:r>
        <w:br w:type="page"/>
      </w:r>
    </w:p>
    <w:tbl>
      <w:tblPr>
        <w:tblStyle w:val="TableGrid"/>
        <w:tblW w:w="0" w:type="auto"/>
        <w:tblLook w:val="04A0" w:firstRow="1" w:lastRow="0" w:firstColumn="1" w:lastColumn="0" w:noHBand="0" w:noVBand="1"/>
      </w:tblPr>
      <w:tblGrid>
        <w:gridCol w:w="2695"/>
        <w:gridCol w:w="6655"/>
      </w:tblGrid>
      <w:tr w:rsidR="00DB7884" w:rsidTr="00280D2F">
        <w:tc>
          <w:tcPr>
            <w:tcW w:w="2695" w:type="dxa"/>
          </w:tcPr>
          <w:p w:rsidR="00DB7884" w:rsidRDefault="00DB7884" w:rsidP="00280D2F">
            <w:pPr>
              <w:ind w:firstLine="0"/>
            </w:pPr>
            <w:r>
              <w:lastRenderedPageBreak/>
              <w:t>Company:</w:t>
            </w:r>
          </w:p>
        </w:tc>
        <w:tc>
          <w:tcPr>
            <w:tcW w:w="6655" w:type="dxa"/>
          </w:tcPr>
          <w:p w:rsidR="00DB7884" w:rsidRDefault="00DB7884" w:rsidP="00280D2F">
            <w:pPr>
              <w:ind w:firstLine="0"/>
            </w:pPr>
            <w:r>
              <w:t>MIT Lincoln Laboratory</w:t>
            </w:r>
          </w:p>
        </w:tc>
      </w:tr>
      <w:tr w:rsidR="00DB7884" w:rsidTr="00280D2F">
        <w:tc>
          <w:tcPr>
            <w:tcW w:w="2695" w:type="dxa"/>
          </w:tcPr>
          <w:p w:rsidR="00DB7884" w:rsidRDefault="00DB7884" w:rsidP="00280D2F">
            <w:pPr>
              <w:ind w:firstLine="0"/>
            </w:pPr>
            <w:r>
              <w:t>Location:</w:t>
            </w:r>
          </w:p>
        </w:tc>
        <w:tc>
          <w:tcPr>
            <w:tcW w:w="6655" w:type="dxa"/>
          </w:tcPr>
          <w:p w:rsidR="00DB7884" w:rsidRDefault="00DB7884" w:rsidP="00280D2F">
            <w:pPr>
              <w:ind w:firstLine="0"/>
            </w:pPr>
            <w:r>
              <w:t>Lexington, MA</w:t>
            </w:r>
          </w:p>
        </w:tc>
      </w:tr>
      <w:tr w:rsidR="00DB7884" w:rsidTr="00280D2F">
        <w:tc>
          <w:tcPr>
            <w:tcW w:w="2695" w:type="dxa"/>
          </w:tcPr>
          <w:p w:rsidR="00DB7884" w:rsidRDefault="00EF6339" w:rsidP="00280D2F">
            <w:pPr>
              <w:ind w:firstLine="0"/>
            </w:pPr>
            <w:r>
              <w:t>Program Summary:</w:t>
            </w:r>
          </w:p>
        </w:tc>
        <w:tc>
          <w:tcPr>
            <w:tcW w:w="6655" w:type="dxa"/>
          </w:tcPr>
          <w:p w:rsidR="00DB7884" w:rsidRDefault="00DB7884" w:rsidP="00DB7884">
            <w:pPr>
              <w:ind w:left="288" w:hanging="288"/>
            </w:pPr>
            <w:r w:rsidRPr="00DB7884">
              <w:rPr>
                <w:b/>
                <w:bCs/>
              </w:rPr>
              <w:t>Summer Research Program:</w:t>
            </w:r>
            <w:r>
              <w:t xml:space="preserve"> </w:t>
            </w:r>
            <w:r w:rsidRPr="00DB7884">
              <w:t>Each summer, the Laboratory offers undergraduate and graduate students the unique opportunity to gain hands-on experience in a leading-edge research environment. Program participants contribute to projects and gain experience that complements their courses of study. In recent summers, we've hired more than 200 students representing top universities.</w:t>
            </w:r>
          </w:p>
        </w:tc>
      </w:tr>
      <w:tr w:rsidR="00DB7884" w:rsidTr="00280D2F">
        <w:tc>
          <w:tcPr>
            <w:tcW w:w="2695" w:type="dxa"/>
          </w:tcPr>
          <w:p w:rsidR="00DB7884" w:rsidRDefault="00DB7884" w:rsidP="00280D2F">
            <w:pPr>
              <w:ind w:firstLine="0"/>
            </w:pPr>
            <w:r>
              <w:t>Application Areas:</w:t>
            </w:r>
          </w:p>
        </w:tc>
        <w:tc>
          <w:tcPr>
            <w:tcW w:w="6655" w:type="dxa"/>
          </w:tcPr>
          <w:p w:rsidR="00DB7884" w:rsidRDefault="00DB7884" w:rsidP="00280D2F">
            <w:pPr>
              <w:ind w:firstLine="0"/>
            </w:pPr>
            <w:r>
              <w:t>Defense</w:t>
            </w:r>
          </w:p>
        </w:tc>
      </w:tr>
      <w:tr w:rsidR="00DB7884" w:rsidTr="00280D2F">
        <w:tc>
          <w:tcPr>
            <w:tcW w:w="2695" w:type="dxa"/>
          </w:tcPr>
          <w:p w:rsidR="00DB7884" w:rsidRDefault="00DB7884" w:rsidP="00280D2F">
            <w:pPr>
              <w:ind w:firstLine="0"/>
            </w:pPr>
            <w:r>
              <w:t>Website:</w:t>
            </w:r>
          </w:p>
        </w:tc>
        <w:tc>
          <w:tcPr>
            <w:tcW w:w="6655" w:type="dxa"/>
          </w:tcPr>
          <w:p w:rsidR="00DB7884" w:rsidRDefault="00DB7884" w:rsidP="00280D2F">
            <w:pPr>
              <w:ind w:firstLine="0"/>
            </w:pPr>
            <w:r w:rsidRPr="00DB7884">
              <w:t>https://www.ll.mit.edu/careers/student-opportunities/summer-research-program</w:t>
            </w:r>
          </w:p>
        </w:tc>
      </w:tr>
      <w:tr w:rsidR="00DB7884" w:rsidTr="00280D2F">
        <w:tc>
          <w:tcPr>
            <w:tcW w:w="2695" w:type="dxa"/>
          </w:tcPr>
          <w:p w:rsidR="00DB7884" w:rsidRDefault="00DB7884" w:rsidP="00280D2F">
            <w:pPr>
              <w:ind w:firstLine="0"/>
            </w:pPr>
            <w:r>
              <w:t>Application Submissions:</w:t>
            </w:r>
          </w:p>
        </w:tc>
        <w:tc>
          <w:tcPr>
            <w:tcW w:w="6655" w:type="dxa"/>
          </w:tcPr>
          <w:p w:rsidR="00DB7884" w:rsidRDefault="000466A1" w:rsidP="00280D2F">
            <w:pPr>
              <w:ind w:firstLine="0"/>
            </w:pPr>
            <w:r w:rsidRPr="000466A1">
              <w:t>https://careers.ll.mit.edu/search/?q=%22Summer%22</w:t>
            </w:r>
          </w:p>
        </w:tc>
      </w:tr>
      <w:tr w:rsidR="00DB7884" w:rsidTr="00280D2F">
        <w:tc>
          <w:tcPr>
            <w:tcW w:w="2695" w:type="dxa"/>
          </w:tcPr>
          <w:p w:rsidR="00DB7884" w:rsidRDefault="00DB7884" w:rsidP="00280D2F">
            <w:pPr>
              <w:ind w:firstLine="0"/>
            </w:pPr>
            <w:r>
              <w:t>Application Window:</w:t>
            </w:r>
          </w:p>
        </w:tc>
        <w:tc>
          <w:tcPr>
            <w:tcW w:w="6655" w:type="dxa"/>
          </w:tcPr>
          <w:p w:rsidR="00DB7884" w:rsidRDefault="00DB7884" w:rsidP="00280D2F">
            <w:pPr>
              <w:ind w:firstLine="0"/>
            </w:pPr>
            <w:r>
              <w:t>September 1 to March 31</w:t>
            </w:r>
          </w:p>
        </w:tc>
      </w:tr>
    </w:tbl>
    <w:p w:rsidR="00DB7884" w:rsidRDefault="00DB7884"/>
    <w:p w:rsidR="00D01127" w:rsidRDefault="00D01127"/>
    <w:p w:rsidR="00D01127" w:rsidRDefault="00D01127"/>
    <w:p w:rsidR="00D64428" w:rsidRDefault="000742AB">
      <w:pPr>
        <w:spacing w:after="0"/>
        <w:ind w:firstLine="0"/>
      </w:pPr>
      <w:r>
        <w:br w:type="page"/>
      </w:r>
    </w:p>
    <w:tbl>
      <w:tblPr>
        <w:tblStyle w:val="TableGrid"/>
        <w:tblW w:w="0" w:type="auto"/>
        <w:tblLook w:val="04A0" w:firstRow="1" w:lastRow="0" w:firstColumn="1" w:lastColumn="0" w:noHBand="0" w:noVBand="1"/>
      </w:tblPr>
      <w:tblGrid>
        <w:gridCol w:w="2695"/>
        <w:gridCol w:w="6655"/>
      </w:tblGrid>
      <w:tr w:rsidR="00D64428" w:rsidTr="00280D2F">
        <w:tc>
          <w:tcPr>
            <w:tcW w:w="2695" w:type="dxa"/>
          </w:tcPr>
          <w:p w:rsidR="00D64428" w:rsidRDefault="00D64428" w:rsidP="00280D2F">
            <w:pPr>
              <w:ind w:firstLine="0"/>
            </w:pPr>
            <w:r>
              <w:lastRenderedPageBreak/>
              <w:t>Company:</w:t>
            </w:r>
          </w:p>
        </w:tc>
        <w:tc>
          <w:tcPr>
            <w:tcW w:w="6655" w:type="dxa"/>
          </w:tcPr>
          <w:p w:rsidR="00D64428" w:rsidRDefault="00D64428" w:rsidP="00280D2F">
            <w:pPr>
              <w:ind w:firstLine="0"/>
            </w:pPr>
            <w:r>
              <w:t>NIST</w:t>
            </w:r>
          </w:p>
        </w:tc>
      </w:tr>
      <w:tr w:rsidR="00D64428" w:rsidTr="00280D2F">
        <w:tc>
          <w:tcPr>
            <w:tcW w:w="2695" w:type="dxa"/>
          </w:tcPr>
          <w:p w:rsidR="00D64428" w:rsidRDefault="00D64428" w:rsidP="00280D2F">
            <w:pPr>
              <w:ind w:firstLine="0"/>
            </w:pPr>
            <w:r>
              <w:t>Location:</w:t>
            </w:r>
          </w:p>
        </w:tc>
        <w:tc>
          <w:tcPr>
            <w:tcW w:w="6655" w:type="dxa"/>
          </w:tcPr>
          <w:p w:rsidR="00D64428" w:rsidRDefault="00D64428" w:rsidP="00280D2F">
            <w:pPr>
              <w:ind w:firstLine="0"/>
            </w:pPr>
            <w:r>
              <w:t>Gaithersburg, MD</w:t>
            </w:r>
          </w:p>
        </w:tc>
      </w:tr>
      <w:tr w:rsidR="00D64428" w:rsidTr="00280D2F">
        <w:tc>
          <w:tcPr>
            <w:tcW w:w="2695" w:type="dxa"/>
          </w:tcPr>
          <w:p w:rsidR="00D64428" w:rsidRDefault="00D64428" w:rsidP="00280D2F">
            <w:pPr>
              <w:ind w:firstLine="0"/>
            </w:pPr>
            <w:r>
              <w:t>Program Summary:</w:t>
            </w:r>
          </w:p>
        </w:tc>
        <w:tc>
          <w:tcPr>
            <w:tcW w:w="6655" w:type="dxa"/>
          </w:tcPr>
          <w:p w:rsidR="00D64428" w:rsidRPr="004C1E75" w:rsidRDefault="00D64428" w:rsidP="00280D2F">
            <w:pPr>
              <w:ind w:firstLine="0"/>
            </w:pPr>
            <w:r w:rsidRPr="004C1E75">
              <w:t>The Internship Program replaces the Student Career Experience Program (SCEP) and Student Temporary Employment Program (STEP).  The Program is designed to provide students enrolled in a wide variety of education institutions, from high school to graduate level, with opportunities to work in agencies to explore Federal careers while still in school and while getting paid for the work performed.  Students who successfully complete the program may be eligible for conversion to a permanent job in the civil service.</w:t>
            </w:r>
          </w:p>
        </w:tc>
      </w:tr>
      <w:tr w:rsidR="00D64428" w:rsidTr="00280D2F">
        <w:tc>
          <w:tcPr>
            <w:tcW w:w="2695" w:type="dxa"/>
          </w:tcPr>
          <w:p w:rsidR="00D64428" w:rsidRDefault="00D64428" w:rsidP="00280D2F">
            <w:pPr>
              <w:ind w:firstLine="0"/>
            </w:pPr>
            <w:r>
              <w:t>Application Areas:</w:t>
            </w:r>
          </w:p>
        </w:tc>
        <w:tc>
          <w:tcPr>
            <w:tcW w:w="6655" w:type="dxa"/>
          </w:tcPr>
          <w:p w:rsidR="00D64428" w:rsidRDefault="00D64428" w:rsidP="00280D2F">
            <w:pPr>
              <w:ind w:firstLine="0"/>
            </w:pPr>
            <w:r>
              <w:t>Science and Technology</w:t>
            </w:r>
          </w:p>
        </w:tc>
      </w:tr>
      <w:tr w:rsidR="00D64428" w:rsidTr="00280D2F">
        <w:tc>
          <w:tcPr>
            <w:tcW w:w="2695" w:type="dxa"/>
          </w:tcPr>
          <w:p w:rsidR="00D64428" w:rsidRDefault="00D64428" w:rsidP="00280D2F">
            <w:pPr>
              <w:ind w:firstLine="0"/>
            </w:pPr>
            <w:r>
              <w:t>Website:</w:t>
            </w:r>
          </w:p>
        </w:tc>
        <w:tc>
          <w:tcPr>
            <w:tcW w:w="6655" w:type="dxa"/>
          </w:tcPr>
          <w:p w:rsidR="00D64428" w:rsidRDefault="00D64428" w:rsidP="00280D2F">
            <w:pPr>
              <w:ind w:firstLine="0"/>
            </w:pPr>
            <w:r w:rsidRPr="004C1E75">
              <w:t>https://www.nist.gov/programs-projects/internship-program</w:t>
            </w:r>
          </w:p>
        </w:tc>
      </w:tr>
      <w:tr w:rsidR="00D64428" w:rsidTr="00280D2F">
        <w:tc>
          <w:tcPr>
            <w:tcW w:w="2695" w:type="dxa"/>
          </w:tcPr>
          <w:p w:rsidR="00D64428" w:rsidRDefault="00D64428" w:rsidP="00280D2F">
            <w:pPr>
              <w:ind w:firstLine="0"/>
            </w:pPr>
            <w:r>
              <w:t>Application Submissions:</w:t>
            </w:r>
          </w:p>
        </w:tc>
        <w:tc>
          <w:tcPr>
            <w:tcW w:w="6655" w:type="dxa"/>
          </w:tcPr>
          <w:p w:rsidR="00D64428" w:rsidRDefault="00D64428" w:rsidP="00280D2F">
            <w:pPr>
              <w:ind w:firstLine="0"/>
            </w:pPr>
            <w:r w:rsidRPr="004C1E75">
              <w:t>https://www.usajobs.gov/Help/working-in-government/unique-hiring-paths/students/</w:t>
            </w:r>
          </w:p>
        </w:tc>
      </w:tr>
      <w:tr w:rsidR="00D64428" w:rsidTr="00280D2F">
        <w:tc>
          <w:tcPr>
            <w:tcW w:w="2695" w:type="dxa"/>
          </w:tcPr>
          <w:p w:rsidR="00D64428" w:rsidRDefault="00D64428" w:rsidP="00280D2F">
            <w:pPr>
              <w:ind w:firstLine="0"/>
            </w:pPr>
            <w:r>
              <w:t>Application Window:</w:t>
            </w:r>
          </w:p>
        </w:tc>
        <w:tc>
          <w:tcPr>
            <w:tcW w:w="6655" w:type="dxa"/>
          </w:tcPr>
          <w:p w:rsidR="00D64428" w:rsidRDefault="00D64428" w:rsidP="00280D2F">
            <w:pPr>
              <w:ind w:firstLine="0"/>
            </w:pPr>
          </w:p>
        </w:tc>
      </w:tr>
    </w:tbl>
    <w:p w:rsidR="004C1E75" w:rsidRDefault="004C1E75">
      <w:pPr>
        <w:spacing w:after="0"/>
        <w:ind w:firstLine="0"/>
      </w:pPr>
      <w:r>
        <w:br w:type="page"/>
      </w:r>
    </w:p>
    <w:tbl>
      <w:tblPr>
        <w:tblStyle w:val="TableGrid"/>
        <w:tblW w:w="0" w:type="auto"/>
        <w:tblLook w:val="04A0" w:firstRow="1" w:lastRow="0" w:firstColumn="1" w:lastColumn="0" w:noHBand="0" w:noVBand="1"/>
      </w:tblPr>
      <w:tblGrid>
        <w:gridCol w:w="2695"/>
        <w:gridCol w:w="6655"/>
      </w:tblGrid>
      <w:tr w:rsidR="000742AB" w:rsidTr="00280D2F">
        <w:tc>
          <w:tcPr>
            <w:tcW w:w="2695" w:type="dxa"/>
          </w:tcPr>
          <w:p w:rsidR="000742AB" w:rsidRDefault="000742AB" w:rsidP="00280D2F">
            <w:pPr>
              <w:ind w:firstLine="0"/>
            </w:pPr>
            <w:r>
              <w:lastRenderedPageBreak/>
              <w:t>Company:</w:t>
            </w:r>
          </w:p>
        </w:tc>
        <w:tc>
          <w:tcPr>
            <w:tcW w:w="6655" w:type="dxa"/>
          </w:tcPr>
          <w:p w:rsidR="000742AB" w:rsidRDefault="000742AB" w:rsidP="00280D2F">
            <w:pPr>
              <w:ind w:firstLine="0"/>
            </w:pPr>
            <w:r>
              <w:t>Intel</w:t>
            </w:r>
          </w:p>
        </w:tc>
      </w:tr>
      <w:tr w:rsidR="000742AB" w:rsidTr="00280D2F">
        <w:tc>
          <w:tcPr>
            <w:tcW w:w="2695" w:type="dxa"/>
          </w:tcPr>
          <w:p w:rsidR="000742AB" w:rsidRDefault="000742AB" w:rsidP="00280D2F">
            <w:pPr>
              <w:ind w:firstLine="0"/>
            </w:pPr>
            <w:r>
              <w:t>Location:</w:t>
            </w:r>
          </w:p>
        </w:tc>
        <w:tc>
          <w:tcPr>
            <w:tcW w:w="6655" w:type="dxa"/>
          </w:tcPr>
          <w:p w:rsidR="000742AB" w:rsidRDefault="000742AB" w:rsidP="00280D2F">
            <w:pPr>
              <w:ind w:firstLine="0"/>
            </w:pPr>
            <w:r>
              <w:t>Chandler, AZ</w:t>
            </w:r>
          </w:p>
        </w:tc>
      </w:tr>
      <w:tr w:rsidR="000742AB" w:rsidTr="00280D2F">
        <w:tc>
          <w:tcPr>
            <w:tcW w:w="2695" w:type="dxa"/>
          </w:tcPr>
          <w:p w:rsidR="000742AB" w:rsidRDefault="00EF6339" w:rsidP="00280D2F">
            <w:pPr>
              <w:ind w:firstLine="0"/>
            </w:pPr>
            <w:r>
              <w:t>Program Summary:</w:t>
            </w:r>
          </w:p>
        </w:tc>
        <w:tc>
          <w:tcPr>
            <w:tcW w:w="6655" w:type="dxa"/>
          </w:tcPr>
          <w:p w:rsidR="000742AB" w:rsidRDefault="000742AB" w:rsidP="00EF6339">
            <w:pPr>
              <w:ind w:firstLine="0"/>
            </w:pPr>
            <w:r>
              <w:t>Intel has a well-developed internship program serving thousands of students who are preparing for real careers outside of college. Our goal is to provide real-world, thought-provoking internships to undergraduate and graduate-level students. Historically, more than 60 percent of our interns go on to accept full-time opportunities with Intel after graduation. There is no better way to learn than to experience things first-hand.</w:t>
            </w:r>
            <w:r>
              <w:t xml:space="preserve">  I</w:t>
            </w:r>
            <w:r>
              <w:t>ntel internships offer students a chance to get real-world experience with ownership of projects from day one, as well as the opportunity to develop a network of contacts for their future. Intel managers encourage students to take the initiative and develop programs that meet their particular interests.</w:t>
            </w:r>
          </w:p>
        </w:tc>
      </w:tr>
      <w:tr w:rsidR="000742AB" w:rsidTr="00280D2F">
        <w:tc>
          <w:tcPr>
            <w:tcW w:w="2695" w:type="dxa"/>
          </w:tcPr>
          <w:p w:rsidR="000742AB" w:rsidRDefault="000742AB" w:rsidP="00280D2F">
            <w:pPr>
              <w:ind w:firstLine="0"/>
            </w:pPr>
            <w:r>
              <w:t>Application Areas:</w:t>
            </w:r>
          </w:p>
        </w:tc>
        <w:tc>
          <w:tcPr>
            <w:tcW w:w="6655" w:type="dxa"/>
          </w:tcPr>
          <w:p w:rsidR="000742AB" w:rsidRDefault="000742AB" w:rsidP="00280D2F">
            <w:pPr>
              <w:ind w:firstLine="0"/>
            </w:pPr>
            <w:r>
              <w:t>Microelectronics packaging and boards</w:t>
            </w:r>
          </w:p>
        </w:tc>
      </w:tr>
      <w:tr w:rsidR="000742AB" w:rsidTr="00280D2F">
        <w:tc>
          <w:tcPr>
            <w:tcW w:w="2695" w:type="dxa"/>
          </w:tcPr>
          <w:p w:rsidR="000742AB" w:rsidRDefault="000742AB" w:rsidP="00280D2F">
            <w:pPr>
              <w:ind w:firstLine="0"/>
            </w:pPr>
            <w:r>
              <w:t>Website:</w:t>
            </w:r>
          </w:p>
        </w:tc>
        <w:tc>
          <w:tcPr>
            <w:tcW w:w="6655" w:type="dxa"/>
          </w:tcPr>
          <w:p w:rsidR="000742AB" w:rsidRDefault="000742AB" w:rsidP="00280D2F">
            <w:pPr>
              <w:ind w:firstLine="0"/>
            </w:pPr>
            <w:r w:rsidRPr="000742AB">
              <w:t>https://jobs.intel.com/page/show/internships</w:t>
            </w:r>
          </w:p>
        </w:tc>
      </w:tr>
      <w:tr w:rsidR="000742AB" w:rsidTr="00280D2F">
        <w:tc>
          <w:tcPr>
            <w:tcW w:w="2695" w:type="dxa"/>
          </w:tcPr>
          <w:p w:rsidR="000742AB" w:rsidRDefault="000742AB" w:rsidP="00280D2F">
            <w:pPr>
              <w:ind w:firstLine="0"/>
            </w:pPr>
            <w:r>
              <w:t>Application Submissions:</w:t>
            </w:r>
          </w:p>
        </w:tc>
        <w:tc>
          <w:tcPr>
            <w:tcW w:w="6655" w:type="dxa"/>
          </w:tcPr>
          <w:p w:rsidR="000742AB" w:rsidRDefault="000742AB" w:rsidP="00280D2F">
            <w:pPr>
              <w:ind w:firstLine="0"/>
            </w:pPr>
            <w:r w:rsidRPr="000742AB">
              <w:t>https://jobs.intel.com/ListJobs/ByCustom/Intel-Job-Category/Keyword-Intern-Student/</w:t>
            </w:r>
          </w:p>
        </w:tc>
      </w:tr>
      <w:tr w:rsidR="000742AB" w:rsidTr="00280D2F">
        <w:tc>
          <w:tcPr>
            <w:tcW w:w="2695" w:type="dxa"/>
          </w:tcPr>
          <w:p w:rsidR="000742AB" w:rsidRDefault="000742AB" w:rsidP="00280D2F">
            <w:pPr>
              <w:ind w:firstLine="0"/>
            </w:pPr>
            <w:r>
              <w:t>Application Window:</w:t>
            </w:r>
          </w:p>
        </w:tc>
        <w:tc>
          <w:tcPr>
            <w:tcW w:w="6655" w:type="dxa"/>
          </w:tcPr>
          <w:p w:rsidR="000742AB" w:rsidRDefault="000742AB" w:rsidP="00280D2F">
            <w:pPr>
              <w:ind w:firstLine="0"/>
            </w:pPr>
          </w:p>
        </w:tc>
      </w:tr>
    </w:tbl>
    <w:p w:rsidR="00D01127" w:rsidRDefault="00D01127"/>
    <w:p w:rsidR="00EF6339" w:rsidRDefault="00EF6339">
      <w:pPr>
        <w:spacing w:after="0"/>
        <w:ind w:firstLine="0"/>
      </w:pPr>
      <w:r>
        <w:br w:type="page"/>
      </w:r>
    </w:p>
    <w:tbl>
      <w:tblPr>
        <w:tblStyle w:val="TableGrid"/>
        <w:tblW w:w="0" w:type="auto"/>
        <w:tblLook w:val="04A0" w:firstRow="1" w:lastRow="0" w:firstColumn="1" w:lastColumn="0" w:noHBand="0" w:noVBand="1"/>
      </w:tblPr>
      <w:tblGrid>
        <w:gridCol w:w="2695"/>
        <w:gridCol w:w="6655"/>
      </w:tblGrid>
      <w:tr w:rsidR="00EF6339" w:rsidTr="00280D2F">
        <w:tc>
          <w:tcPr>
            <w:tcW w:w="2695" w:type="dxa"/>
          </w:tcPr>
          <w:p w:rsidR="00EF6339" w:rsidRDefault="00EF6339" w:rsidP="00280D2F">
            <w:pPr>
              <w:ind w:firstLine="0"/>
            </w:pPr>
            <w:r>
              <w:lastRenderedPageBreak/>
              <w:t>Company:</w:t>
            </w:r>
          </w:p>
        </w:tc>
        <w:tc>
          <w:tcPr>
            <w:tcW w:w="6655" w:type="dxa"/>
          </w:tcPr>
          <w:p w:rsidR="00EF6339" w:rsidRDefault="00EF6339" w:rsidP="00280D2F">
            <w:pPr>
              <w:ind w:firstLine="0"/>
            </w:pPr>
            <w:r>
              <w:t>Gore</w:t>
            </w:r>
          </w:p>
        </w:tc>
      </w:tr>
      <w:tr w:rsidR="00EF6339" w:rsidTr="00280D2F">
        <w:tc>
          <w:tcPr>
            <w:tcW w:w="2695" w:type="dxa"/>
          </w:tcPr>
          <w:p w:rsidR="00EF6339" w:rsidRDefault="00EF6339" w:rsidP="00280D2F">
            <w:pPr>
              <w:ind w:firstLine="0"/>
            </w:pPr>
            <w:r>
              <w:t>Location:</w:t>
            </w:r>
          </w:p>
        </w:tc>
        <w:tc>
          <w:tcPr>
            <w:tcW w:w="6655" w:type="dxa"/>
          </w:tcPr>
          <w:p w:rsidR="00EF6339" w:rsidRDefault="00030AF7" w:rsidP="00030AF7">
            <w:pPr>
              <w:tabs>
                <w:tab w:val="left" w:pos="1157"/>
              </w:tabs>
              <w:ind w:firstLine="0"/>
            </w:pPr>
            <w:r>
              <w:t>Elkton, MD, Flagstaff, AZ, Phoenix, AZ, Santa Clara, CA</w:t>
            </w:r>
          </w:p>
        </w:tc>
      </w:tr>
      <w:tr w:rsidR="00EF6339" w:rsidTr="00280D2F">
        <w:tc>
          <w:tcPr>
            <w:tcW w:w="2695" w:type="dxa"/>
          </w:tcPr>
          <w:p w:rsidR="00EF6339" w:rsidRDefault="00EF6339" w:rsidP="00280D2F">
            <w:pPr>
              <w:ind w:firstLine="0"/>
            </w:pPr>
            <w:r>
              <w:t>Program Summary</w:t>
            </w:r>
            <w:r>
              <w:t>:</w:t>
            </w:r>
          </w:p>
        </w:tc>
        <w:tc>
          <w:tcPr>
            <w:tcW w:w="6655" w:type="dxa"/>
          </w:tcPr>
          <w:p w:rsidR="00EF6339" w:rsidRPr="00EF6339" w:rsidRDefault="00EF6339" w:rsidP="00EF6339">
            <w:pPr>
              <w:ind w:firstLine="0"/>
            </w:pPr>
            <w:r w:rsidRPr="00EF6339">
              <w:t>During college, you develop knowledge and skills that prepare you for success in the real world. Still, the best preparation is experience working in a professional environment. During an internship, you can apply what you’re learning in school, develop professional habits, and contribute to a thriving company. Along with the insights you develop in an internship, you get real working experience on your resume that gives you a boost as you officially enter the workforce.</w:t>
            </w:r>
          </w:p>
          <w:p w:rsidR="00EF6339" w:rsidRPr="00EF6339" w:rsidRDefault="00EF6339" w:rsidP="00EF6339">
            <w:pPr>
              <w:ind w:firstLine="0"/>
            </w:pPr>
            <w:r w:rsidRPr="00EF6339">
              <w:t>Gore offers a variety of opportunities for student interns to get valuable experience working for a global enterprise. Internships are a great way for you to evaluate us — and vice versa — to see if there’s a potential match for long-term employment. As a Gore intern, you’ll own a project calling on the skills you’ve developed in your field of study; you’ll work to wrap up the project before your internship ends.</w:t>
            </w:r>
          </w:p>
          <w:p w:rsidR="00EF6339" w:rsidRPr="00EF6339" w:rsidRDefault="00EF6339" w:rsidP="00EF6339">
            <w:pPr>
              <w:ind w:firstLine="0"/>
            </w:pPr>
            <w:r w:rsidRPr="00EF6339">
              <w:t>During your time at Gore, you’ll be encouraged to network and build relationships across functions and plants, as well as with other interns. We want to help you grow and develop during your time at Gore; we will provide organized social and networking opportunities to help you get connected to other interns and Gore Associates.</w:t>
            </w:r>
          </w:p>
          <w:p w:rsidR="00EF6339" w:rsidRPr="00EF6339" w:rsidRDefault="00EF6339" w:rsidP="00EF6339">
            <w:pPr>
              <w:ind w:firstLine="0"/>
            </w:pPr>
            <w:r w:rsidRPr="00EF6339">
              <w:t>Gore interns are students who have completed at least their sophomore year of college and who will be returning to school after their summer internship is complete.</w:t>
            </w:r>
          </w:p>
        </w:tc>
      </w:tr>
      <w:tr w:rsidR="00EF6339" w:rsidTr="00280D2F">
        <w:tc>
          <w:tcPr>
            <w:tcW w:w="2695" w:type="dxa"/>
          </w:tcPr>
          <w:p w:rsidR="00EF6339" w:rsidRDefault="00EF6339" w:rsidP="00280D2F">
            <w:pPr>
              <w:ind w:firstLine="0"/>
            </w:pPr>
            <w:r>
              <w:t>Application Areas:</w:t>
            </w:r>
          </w:p>
        </w:tc>
        <w:tc>
          <w:tcPr>
            <w:tcW w:w="6655" w:type="dxa"/>
          </w:tcPr>
          <w:p w:rsidR="00EF6339" w:rsidRDefault="00EF6339" w:rsidP="00280D2F">
            <w:pPr>
              <w:ind w:firstLine="0"/>
            </w:pPr>
            <w:r>
              <w:t>activewear, biomedical, pharmaceuticals</w:t>
            </w:r>
          </w:p>
        </w:tc>
      </w:tr>
      <w:tr w:rsidR="00EF6339" w:rsidTr="00280D2F">
        <w:tc>
          <w:tcPr>
            <w:tcW w:w="2695" w:type="dxa"/>
          </w:tcPr>
          <w:p w:rsidR="00EF6339" w:rsidRDefault="00EF6339" w:rsidP="00280D2F">
            <w:pPr>
              <w:ind w:firstLine="0"/>
            </w:pPr>
            <w:r>
              <w:t>Website:</w:t>
            </w:r>
          </w:p>
        </w:tc>
        <w:tc>
          <w:tcPr>
            <w:tcW w:w="6655" w:type="dxa"/>
          </w:tcPr>
          <w:p w:rsidR="00EF6339" w:rsidRDefault="00EF6339" w:rsidP="00280D2F">
            <w:pPr>
              <w:ind w:firstLine="0"/>
            </w:pPr>
            <w:r w:rsidRPr="00EF6339">
              <w:t>https://www.gore.com/careers/interns</w:t>
            </w:r>
          </w:p>
          <w:p w:rsidR="00030AF7" w:rsidRDefault="00030AF7" w:rsidP="00280D2F">
            <w:pPr>
              <w:ind w:firstLine="0"/>
            </w:pPr>
            <w:r w:rsidRPr="00030AF7">
              <w:t>collegerecruiting@wlgore.com</w:t>
            </w:r>
          </w:p>
        </w:tc>
      </w:tr>
      <w:tr w:rsidR="00EF6339" w:rsidTr="00280D2F">
        <w:tc>
          <w:tcPr>
            <w:tcW w:w="2695" w:type="dxa"/>
          </w:tcPr>
          <w:p w:rsidR="00EF6339" w:rsidRDefault="00EF6339" w:rsidP="00280D2F">
            <w:pPr>
              <w:ind w:firstLine="0"/>
            </w:pPr>
            <w:r>
              <w:t>Application Submissions:</w:t>
            </w:r>
          </w:p>
        </w:tc>
        <w:tc>
          <w:tcPr>
            <w:tcW w:w="6655" w:type="dxa"/>
          </w:tcPr>
          <w:p w:rsidR="00EF6339" w:rsidRDefault="00030AF7" w:rsidP="00280D2F">
            <w:pPr>
              <w:ind w:firstLine="0"/>
            </w:pPr>
            <w:r w:rsidRPr="00030AF7">
              <w:t>https://wlgore.taleo.net/careersection/2/jobsearch.ftl?lang=en</w:t>
            </w:r>
          </w:p>
        </w:tc>
      </w:tr>
      <w:tr w:rsidR="00EF6339" w:rsidTr="00280D2F">
        <w:tc>
          <w:tcPr>
            <w:tcW w:w="2695" w:type="dxa"/>
          </w:tcPr>
          <w:p w:rsidR="00EF6339" w:rsidRDefault="00EF6339" w:rsidP="00280D2F">
            <w:pPr>
              <w:ind w:firstLine="0"/>
            </w:pPr>
            <w:r>
              <w:t>Application Window:</w:t>
            </w:r>
          </w:p>
        </w:tc>
        <w:tc>
          <w:tcPr>
            <w:tcW w:w="6655" w:type="dxa"/>
          </w:tcPr>
          <w:p w:rsidR="00EF6339" w:rsidRDefault="00EF6339" w:rsidP="00280D2F">
            <w:pPr>
              <w:ind w:firstLine="0"/>
            </w:pPr>
            <w:r>
              <w:t>December to February 15</w:t>
            </w:r>
          </w:p>
        </w:tc>
      </w:tr>
    </w:tbl>
    <w:p w:rsidR="00EF6339" w:rsidRDefault="00EF6339"/>
    <w:p w:rsidR="00030AF7" w:rsidRDefault="00030AF7">
      <w:pPr>
        <w:spacing w:after="0"/>
        <w:ind w:firstLine="0"/>
      </w:pPr>
      <w:r>
        <w:br w:type="page"/>
      </w:r>
    </w:p>
    <w:tbl>
      <w:tblPr>
        <w:tblStyle w:val="TableGrid"/>
        <w:tblW w:w="0" w:type="auto"/>
        <w:tblLook w:val="04A0" w:firstRow="1" w:lastRow="0" w:firstColumn="1" w:lastColumn="0" w:noHBand="0" w:noVBand="1"/>
      </w:tblPr>
      <w:tblGrid>
        <w:gridCol w:w="2695"/>
        <w:gridCol w:w="6655"/>
      </w:tblGrid>
      <w:tr w:rsidR="00030AF7" w:rsidTr="00280D2F">
        <w:tc>
          <w:tcPr>
            <w:tcW w:w="2695" w:type="dxa"/>
          </w:tcPr>
          <w:p w:rsidR="00030AF7" w:rsidRDefault="00030AF7" w:rsidP="00280D2F">
            <w:pPr>
              <w:ind w:firstLine="0"/>
            </w:pPr>
            <w:r>
              <w:lastRenderedPageBreak/>
              <w:t>Company:</w:t>
            </w:r>
          </w:p>
        </w:tc>
        <w:tc>
          <w:tcPr>
            <w:tcW w:w="6655" w:type="dxa"/>
          </w:tcPr>
          <w:p w:rsidR="00030AF7" w:rsidRDefault="00030AF7" w:rsidP="00280D2F">
            <w:pPr>
              <w:ind w:firstLine="0"/>
            </w:pPr>
            <w:r>
              <w:t>Dupont</w:t>
            </w:r>
          </w:p>
        </w:tc>
      </w:tr>
      <w:tr w:rsidR="00030AF7" w:rsidTr="00280D2F">
        <w:tc>
          <w:tcPr>
            <w:tcW w:w="2695" w:type="dxa"/>
          </w:tcPr>
          <w:p w:rsidR="00030AF7" w:rsidRDefault="00030AF7" w:rsidP="00280D2F">
            <w:pPr>
              <w:ind w:firstLine="0"/>
            </w:pPr>
            <w:r>
              <w:t>Location:</w:t>
            </w:r>
          </w:p>
        </w:tc>
        <w:tc>
          <w:tcPr>
            <w:tcW w:w="6655" w:type="dxa"/>
          </w:tcPr>
          <w:p w:rsidR="00030AF7" w:rsidRDefault="00030AF7" w:rsidP="00280D2F">
            <w:pPr>
              <w:ind w:firstLine="0"/>
            </w:pPr>
            <w:r>
              <w:t>Newark, DE, Wilmington, DE, Richmond, VA, Auburn Hills, MI, Charleston, SC, Midland, MI, Troy, MI, Rochester, NY, Circleville, OH</w:t>
            </w:r>
          </w:p>
        </w:tc>
      </w:tr>
      <w:tr w:rsidR="00030AF7" w:rsidTr="00280D2F">
        <w:tc>
          <w:tcPr>
            <w:tcW w:w="2695" w:type="dxa"/>
          </w:tcPr>
          <w:p w:rsidR="00030AF7" w:rsidRDefault="00030AF7" w:rsidP="00280D2F">
            <w:pPr>
              <w:ind w:firstLine="0"/>
            </w:pPr>
            <w:r>
              <w:t>Program Summary:</w:t>
            </w:r>
          </w:p>
        </w:tc>
        <w:tc>
          <w:tcPr>
            <w:tcW w:w="6655" w:type="dxa"/>
          </w:tcPr>
          <w:p w:rsidR="00030AF7" w:rsidRDefault="00030AF7" w:rsidP="00280D2F">
            <w:pPr>
              <w:ind w:firstLine="0"/>
            </w:pPr>
            <w:r w:rsidRPr="00030AF7">
              <w:t>Our internship and co-op programs at DuPont are designed to help you learn and develop essential skills so you can excel in your chosen career path. It’s here, during your internship or co-op, where you’ll gain real world experience that’ll prepare you to be a leader at DuPont.</w:t>
            </w:r>
          </w:p>
          <w:p w:rsidR="00030AF7" w:rsidRDefault="00030AF7" w:rsidP="00030AF7">
            <w:pPr>
              <w:ind w:firstLine="0"/>
            </w:pPr>
            <w:r>
              <w:t xml:space="preserve">We’re looking for people who are passionate, </w:t>
            </w:r>
            <w:proofErr w:type="spellStart"/>
            <w:r>
              <w:t>hard working</w:t>
            </w:r>
            <w:proofErr w:type="spellEnd"/>
            <w:r>
              <w:t>, and ambitious, ready to make an impact from day one. Our US student program includes 10–12 week internships and 3–6 month co-op assignments. The program length may differ in other countries where DuPont has internship and co-op programs available.</w:t>
            </w:r>
          </w:p>
          <w:p w:rsidR="00030AF7" w:rsidRPr="00EF6339" w:rsidRDefault="00030AF7" w:rsidP="00030AF7">
            <w:pPr>
              <w:ind w:firstLine="0"/>
            </w:pPr>
            <w:r>
              <w:t>During your program, you’ll work collaboratively with DuPont professionals on meaningful projects to deliver real-world results. You’ll develop a strong network of colleagues in diverse roles, helping you obtain insights that will inform future career choices.</w:t>
            </w:r>
          </w:p>
        </w:tc>
      </w:tr>
      <w:tr w:rsidR="00030AF7" w:rsidTr="00280D2F">
        <w:tc>
          <w:tcPr>
            <w:tcW w:w="2695" w:type="dxa"/>
          </w:tcPr>
          <w:p w:rsidR="00030AF7" w:rsidRDefault="00030AF7" w:rsidP="00280D2F">
            <w:pPr>
              <w:ind w:firstLine="0"/>
            </w:pPr>
            <w:r>
              <w:t>Application Areas:</w:t>
            </w:r>
          </w:p>
        </w:tc>
        <w:tc>
          <w:tcPr>
            <w:tcW w:w="6655" w:type="dxa"/>
          </w:tcPr>
          <w:p w:rsidR="00030AF7" w:rsidRDefault="00030AF7" w:rsidP="00280D2F">
            <w:pPr>
              <w:ind w:firstLine="0"/>
            </w:pPr>
            <w:r>
              <w:t>coatings, adhesives, structural polymers, microelectronics</w:t>
            </w:r>
            <w:r>
              <w:t>, biomedical, pharmaceuticals</w:t>
            </w:r>
          </w:p>
        </w:tc>
      </w:tr>
      <w:tr w:rsidR="00030AF7" w:rsidTr="00280D2F">
        <w:tc>
          <w:tcPr>
            <w:tcW w:w="2695" w:type="dxa"/>
          </w:tcPr>
          <w:p w:rsidR="00030AF7" w:rsidRDefault="00030AF7" w:rsidP="00280D2F">
            <w:pPr>
              <w:ind w:firstLine="0"/>
            </w:pPr>
            <w:r>
              <w:t>Website:</w:t>
            </w:r>
          </w:p>
        </w:tc>
        <w:tc>
          <w:tcPr>
            <w:tcW w:w="6655" w:type="dxa"/>
          </w:tcPr>
          <w:p w:rsidR="00030AF7" w:rsidRDefault="00030AF7" w:rsidP="00280D2F">
            <w:pPr>
              <w:ind w:firstLine="0"/>
            </w:pPr>
            <w:r w:rsidRPr="00030AF7">
              <w:t>https://www.dupont.com/careers/internships.html</w:t>
            </w:r>
          </w:p>
        </w:tc>
      </w:tr>
      <w:tr w:rsidR="00030AF7" w:rsidTr="00280D2F">
        <w:tc>
          <w:tcPr>
            <w:tcW w:w="2695" w:type="dxa"/>
          </w:tcPr>
          <w:p w:rsidR="00030AF7" w:rsidRDefault="00030AF7" w:rsidP="00280D2F">
            <w:pPr>
              <w:ind w:firstLine="0"/>
            </w:pPr>
            <w:r>
              <w:t>Application Submissions:</w:t>
            </w:r>
          </w:p>
        </w:tc>
        <w:tc>
          <w:tcPr>
            <w:tcW w:w="6655" w:type="dxa"/>
          </w:tcPr>
          <w:p w:rsidR="00030AF7" w:rsidRDefault="00030AF7" w:rsidP="00280D2F">
            <w:pPr>
              <w:ind w:firstLine="0"/>
            </w:pPr>
            <w:r w:rsidRPr="00030AF7">
              <w:t>https://careers.dupont.com/career-areas/internships/</w:t>
            </w:r>
          </w:p>
        </w:tc>
      </w:tr>
      <w:tr w:rsidR="00030AF7" w:rsidTr="00280D2F">
        <w:tc>
          <w:tcPr>
            <w:tcW w:w="2695" w:type="dxa"/>
          </w:tcPr>
          <w:p w:rsidR="00030AF7" w:rsidRDefault="00030AF7" w:rsidP="00280D2F">
            <w:pPr>
              <w:ind w:firstLine="0"/>
            </w:pPr>
            <w:r>
              <w:t>Application Window:</w:t>
            </w:r>
          </w:p>
        </w:tc>
        <w:tc>
          <w:tcPr>
            <w:tcW w:w="6655" w:type="dxa"/>
          </w:tcPr>
          <w:p w:rsidR="00030AF7" w:rsidRDefault="00030AF7" w:rsidP="00280D2F">
            <w:pPr>
              <w:ind w:firstLine="0"/>
            </w:pPr>
            <w:r>
              <w:t>December to February 15</w:t>
            </w:r>
          </w:p>
        </w:tc>
      </w:tr>
    </w:tbl>
    <w:p w:rsidR="00030AF7" w:rsidRDefault="00030AF7"/>
    <w:p w:rsidR="004C1E75" w:rsidRDefault="004C1E75"/>
    <w:p w:rsidR="00222FA2" w:rsidRDefault="00222FA2">
      <w:pPr>
        <w:spacing w:after="0"/>
        <w:ind w:firstLine="0"/>
      </w:pPr>
      <w:r>
        <w:br w:type="page"/>
      </w:r>
    </w:p>
    <w:tbl>
      <w:tblPr>
        <w:tblStyle w:val="TableGrid"/>
        <w:tblW w:w="0" w:type="auto"/>
        <w:tblLook w:val="04A0" w:firstRow="1" w:lastRow="0" w:firstColumn="1" w:lastColumn="0" w:noHBand="0" w:noVBand="1"/>
      </w:tblPr>
      <w:tblGrid>
        <w:gridCol w:w="2695"/>
        <w:gridCol w:w="6655"/>
      </w:tblGrid>
      <w:tr w:rsidR="00222FA2" w:rsidTr="00280D2F">
        <w:tc>
          <w:tcPr>
            <w:tcW w:w="2695" w:type="dxa"/>
          </w:tcPr>
          <w:p w:rsidR="00222FA2" w:rsidRDefault="00222FA2" w:rsidP="00280D2F">
            <w:pPr>
              <w:ind w:firstLine="0"/>
            </w:pPr>
            <w:r>
              <w:lastRenderedPageBreak/>
              <w:t>Company:</w:t>
            </w:r>
          </w:p>
        </w:tc>
        <w:tc>
          <w:tcPr>
            <w:tcW w:w="6655" w:type="dxa"/>
          </w:tcPr>
          <w:p w:rsidR="00222FA2" w:rsidRDefault="00222FA2" w:rsidP="00280D2F">
            <w:pPr>
              <w:ind w:firstLine="0"/>
            </w:pPr>
            <w:r>
              <w:t>Merck</w:t>
            </w:r>
          </w:p>
        </w:tc>
      </w:tr>
      <w:tr w:rsidR="00222FA2" w:rsidTr="00280D2F">
        <w:tc>
          <w:tcPr>
            <w:tcW w:w="2695" w:type="dxa"/>
          </w:tcPr>
          <w:p w:rsidR="00222FA2" w:rsidRDefault="00222FA2" w:rsidP="00280D2F">
            <w:pPr>
              <w:ind w:firstLine="0"/>
            </w:pPr>
            <w:r>
              <w:t>Location:</w:t>
            </w:r>
          </w:p>
        </w:tc>
        <w:tc>
          <w:tcPr>
            <w:tcW w:w="6655" w:type="dxa"/>
          </w:tcPr>
          <w:p w:rsidR="00222FA2" w:rsidRDefault="00222FA2" w:rsidP="00280D2F">
            <w:pPr>
              <w:ind w:firstLine="0"/>
            </w:pPr>
            <w:r>
              <w:t>Kenilworth, NJ</w:t>
            </w:r>
          </w:p>
        </w:tc>
      </w:tr>
      <w:tr w:rsidR="00222FA2" w:rsidTr="00280D2F">
        <w:tc>
          <w:tcPr>
            <w:tcW w:w="2695" w:type="dxa"/>
          </w:tcPr>
          <w:p w:rsidR="00222FA2" w:rsidRDefault="00222FA2" w:rsidP="00280D2F">
            <w:pPr>
              <w:ind w:firstLine="0"/>
            </w:pPr>
            <w:r>
              <w:t>Program Summary:</w:t>
            </w:r>
          </w:p>
        </w:tc>
        <w:tc>
          <w:tcPr>
            <w:tcW w:w="6655" w:type="dxa"/>
          </w:tcPr>
          <w:p w:rsidR="00222FA2" w:rsidRDefault="00222FA2" w:rsidP="00222FA2">
            <w:pPr>
              <w:ind w:firstLine="0"/>
            </w:pPr>
            <w:r>
              <w:t>Join a program that provides exemplary students with the opportunity to work on meaningful assignments and gain real word experiences.</w:t>
            </w:r>
          </w:p>
          <w:p w:rsidR="00222FA2" w:rsidRDefault="00222FA2" w:rsidP="00222FA2">
            <w:pPr>
              <w:ind w:firstLine="0"/>
            </w:pPr>
            <w:r>
              <w:t>Internships: 9 to 11 week assignments between June and August.</w:t>
            </w:r>
          </w:p>
          <w:p w:rsidR="00222FA2" w:rsidRPr="00EF6339" w:rsidRDefault="00222FA2" w:rsidP="00222FA2">
            <w:pPr>
              <w:ind w:firstLine="0"/>
            </w:pPr>
            <w:r>
              <w:t>Co-Op: 4 to 6 month assignments.</w:t>
            </w:r>
          </w:p>
        </w:tc>
      </w:tr>
      <w:tr w:rsidR="00222FA2" w:rsidTr="00280D2F">
        <w:tc>
          <w:tcPr>
            <w:tcW w:w="2695" w:type="dxa"/>
          </w:tcPr>
          <w:p w:rsidR="00222FA2" w:rsidRDefault="00222FA2" w:rsidP="00280D2F">
            <w:pPr>
              <w:ind w:firstLine="0"/>
            </w:pPr>
            <w:r>
              <w:t>Application Areas:</w:t>
            </w:r>
          </w:p>
        </w:tc>
        <w:tc>
          <w:tcPr>
            <w:tcW w:w="6655" w:type="dxa"/>
          </w:tcPr>
          <w:p w:rsidR="00222FA2" w:rsidRDefault="00222FA2" w:rsidP="00280D2F">
            <w:pPr>
              <w:ind w:firstLine="0"/>
            </w:pPr>
            <w:r>
              <w:t>biomedical, pharmaceuticals</w:t>
            </w:r>
          </w:p>
        </w:tc>
      </w:tr>
      <w:tr w:rsidR="00222FA2" w:rsidTr="00280D2F">
        <w:tc>
          <w:tcPr>
            <w:tcW w:w="2695" w:type="dxa"/>
          </w:tcPr>
          <w:p w:rsidR="00222FA2" w:rsidRDefault="00222FA2" w:rsidP="00280D2F">
            <w:pPr>
              <w:ind w:firstLine="0"/>
            </w:pPr>
            <w:r>
              <w:t>Website:</w:t>
            </w:r>
          </w:p>
        </w:tc>
        <w:tc>
          <w:tcPr>
            <w:tcW w:w="6655" w:type="dxa"/>
          </w:tcPr>
          <w:p w:rsidR="00222FA2" w:rsidRDefault="00222FA2" w:rsidP="00280D2F">
            <w:pPr>
              <w:ind w:firstLine="0"/>
            </w:pPr>
            <w:r w:rsidRPr="00222FA2">
              <w:t>https://www.merck.com/careers/life-at-merck/students-and-graduates.html</w:t>
            </w:r>
          </w:p>
        </w:tc>
      </w:tr>
      <w:tr w:rsidR="00222FA2" w:rsidTr="00280D2F">
        <w:tc>
          <w:tcPr>
            <w:tcW w:w="2695" w:type="dxa"/>
          </w:tcPr>
          <w:p w:rsidR="00222FA2" w:rsidRDefault="00222FA2" w:rsidP="00280D2F">
            <w:pPr>
              <w:ind w:firstLine="0"/>
            </w:pPr>
            <w:r>
              <w:t>Application Submissions:</w:t>
            </w:r>
          </w:p>
        </w:tc>
        <w:tc>
          <w:tcPr>
            <w:tcW w:w="6655" w:type="dxa"/>
          </w:tcPr>
          <w:p w:rsidR="00222FA2" w:rsidRDefault="00222FA2" w:rsidP="00280D2F">
            <w:pPr>
              <w:ind w:firstLine="0"/>
            </w:pPr>
            <w:r w:rsidRPr="00222FA2">
              <w:t>https://merck.taleo.net/careersection/</w:t>
            </w:r>
            <w:r>
              <w:t xml:space="preserve"> </w:t>
            </w:r>
            <w:proofErr w:type="spellStart"/>
            <w:r w:rsidRPr="00222FA2">
              <w:t>merck_university_recruiting_career_section</w:t>
            </w:r>
            <w:proofErr w:type="spellEnd"/>
            <w:r w:rsidRPr="00222FA2">
              <w:t>/</w:t>
            </w:r>
            <w:proofErr w:type="spellStart"/>
            <w:r w:rsidRPr="00222FA2">
              <w:t>jobsearch.ftl?lang</w:t>
            </w:r>
            <w:proofErr w:type="spellEnd"/>
            <w:r w:rsidRPr="00222FA2">
              <w:t>=</w:t>
            </w:r>
            <w:proofErr w:type="spellStart"/>
            <w:r w:rsidRPr="00222FA2">
              <w:t>en</w:t>
            </w:r>
            <w:proofErr w:type="spellEnd"/>
          </w:p>
        </w:tc>
      </w:tr>
      <w:tr w:rsidR="00222FA2" w:rsidTr="00280D2F">
        <w:tc>
          <w:tcPr>
            <w:tcW w:w="2695" w:type="dxa"/>
          </w:tcPr>
          <w:p w:rsidR="00222FA2" w:rsidRDefault="00222FA2" w:rsidP="00280D2F">
            <w:pPr>
              <w:ind w:firstLine="0"/>
            </w:pPr>
            <w:r>
              <w:t>Application Window:</w:t>
            </w:r>
          </w:p>
        </w:tc>
        <w:tc>
          <w:tcPr>
            <w:tcW w:w="6655" w:type="dxa"/>
          </w:tcPr>
          <w:p w:rsidR="00222FA2" w:rsidRDefault="00222FA2" w:rsidP="00280D2F">
            <w:pPr>
              <w:ind w:firstLine="0"/>
            </w:pPr>
            <w:r>
              <w:t>Fall through spring</w:t>
            </w:r>
          </w:p>
        </w:tc>
      </w:tr>
    </w:tbl>
    <w:p w:rsidR="00222FA2" w:rsidRDefault="00222FA2"/>
    <w:p w:rsidR="00222FA2" w:rsidRDefault="00222FA2"/>
    <w:p w:rsidR="00222FA2" w:rsidRDefault="00222FA2"/>
    <w:p w:rsidR="007622EC" w:rsidRDefault="007622EC">
      <w:pPr>
        <w:spacing w:after="0"/>
        <w:ind w:firstLine="0"/>
      </w:pPr>
      <w:r>
        <w:br w:type="page"/>
      </w:r>
    </w:p>
    <w:tbl>
      <w:tblPr>
        <w:tblStyle w:val="TableGrid"/>
        <w:tblW w:w="0" w:type="auto"/>
        <w:tblLook w:val="04A0" w:firstRow="1" w:lastRow="0" w:firstColumn="1" w:lastColumn="0" w:noHBand="0" w:noVBand="1"/>
      </w:tblPr>
      <w:tblGrid>
        <w:gridCol w:w="2695"/>
        <w:gridCol w:w="6655"/>
      </w:tblGrid>
      <w:tr w:rsidR="00D607DE" w:rsidTr="00280D2F">
        <w:tc>
          <w:tcPr>
            <w:tcW w:w="2695" w:type="dxa"/>
          </w:tcPr>
          <w:p w:rsidR="00D607DE" w:rsidRDefault="00D607DE" w:rsidP="00280D2F">
            <w:pPr>
              <w:ind w:firstLine="0"/>
            </w:pPr>
            <w:r>
              <w:lastRenderedPageBreak/>
              <w:t>Company:</w:t>
            </w:r>
          </w:p>
        </w:tc>
        <w:tc>
          <w:tcPr>
            <w:tcW w:w="6655" w:type="dxa"/>
          </w:tcPr>
          <w:p w:rsidR="00D607DE" w:rsidRDefault="00D607DE" w:rsidP="00280D2F">
            <w:pPr>
              <w:ind w:firstLine="0"/>
            </w:pPr>
            <w:r>
              <w:t>Pfizer</w:t>
            </w:r>
          </w:p>
        </w:tc>
      </w:tr>
      <w:tr w:rsidR="00D607DE" w:rsidTr="00280D2F">
        <w:tc>
          <w:tcPr>
            <w:tcW w:w="2695" w:type="dxa"/>
          </w:tcPr>
          <w:p w:rsidR="00D607DE" w:rsidRDefault="00D607DE" w:rsidP="00280D2F">
            <w:pPr>
              <w:ind w:firstLine="0"/>
            </w:pPr>
            <w:r>
              <w:t>Location:</w:t>
            </w:r>
          </w:p>
        </w:tc>
        <w:tc>
          <w:tcPr>
            <w:tcW w:w="6655" w:type="dxa"/>
          </w:tcPr>
          <w:p w:rsidR="00D607DE" w:rsidRDefault="00D607DE" w:rsidP="00280D2F">
            <w:pPr>
              <w:ind w:firstLine="0"/>
            </w:pPr>
            <w:r>
              <w:t>Andover, MA, Cambridge, MA, La Jolla, CA, Pearl River, NY, San Francisco, CA, St. Louis, MO</w:t>
            </w:r>
          </w:p>
        </w:tc>
      </w:tr>
      <w:tr w:rsidR="00D607DE" w:rsidTr="00280D2F">
        <w:tc>
          <w:tcPr>
            <w:tcW w:w="2695" w:type="dxa"/>
          </w:tcPr>
          <w:p w:rsidR="00D607DE" w:rsidRDefault="00D607DE" w:rsidP="00280D2F">
            <w:pPr>
              <w:ind w:firstLine="0"/>
            </w:pPr>
            <w:r>
              <w:t>Program Summary:</w:t>
            </w:r>
          </w:p>
        </w:tc>
        <w:tc>
          <w:tcPr>
            <w:tcW w:w="6655" w:type="dxa"/>
          </w:tcPr>
          <w:p w:rsidR="00D607DE" w:rsidRDefault="00D607DE" w:rsidP="00D607DE">
            <w:pPr>
              <w:ind w:firstLine="0"/>
            </w:pPr>
            <w:r>
              <w:t>Each summer, college and university students join Pfizer as part of our Summer Student Worker Program. The program, which offers summer employment opportunities at various Pfizer sites in the U.S., is designed to help Pfizer businesses and teams accomplish real, impactful projects, while giving students engaging and meaningful work experience.</w:t>
            </w:r>
          </w:p>
          <w:p w:rsidR="00D607DE" w:rsidRDefault="00D607DE" w:rsidP="00D607DE">
            <w:pPr>
              <w:ind w:firstLine="0"/>
            </w:pPr>
            <w:r>
              <w:t>All Pfizer businesses and supporting divisions accept summer student workers, and Pfizer works to match students with the department or team that most closely matches their future career interests. During the summer, students will receive challenging work assignments, have the opportunity to collaborate with Pfizer colleagues at all levels of the organization and experience Pfizer’s culture firsthand.</w:t>
            </w:r>
          </w:p>
          <w:p w:rsidR="00D607DE" w:rsidRPr="00EF6339" w:rsidRDefault="00D607DE" w:rsidP="00D607DE">
            <w:pPr>
              <w:ind w:firstLine="0"/>
            </w:pPr>
            <w:r>
              <w:t>Summer workers are evaluated with seriousness, and students receive valuable feedback that can help them develop their skills and competencies. In most cases, student workers are included in their team’s regular activities, including team meetings, working sessions, and meetings with internal and external stakeholders. Many student workers form long-term relationships with mentors, advisors and peers.</w:t>
            </w:r>
          </w:p>
        </w:tc>
      </w:tr>
      <w:tr w:rsidR="00D607DE" w:rsidTr="00280D2F">
        <w:tc>
          <w:tcPr>
            <w:tcW w:w="2695" w:type="dxa"/>
          </w:tcPr>
          <w:p w:rsidR="00D607DE" w:rsidRDefault="00D607DE" w:rsidP="00280D2F">
            <w:pPr>
              <w:ind w:firstLine="0"/>
            </w:pPr>
            <w:r>
              <w:t>Application Areas:</w:t>
            </w:r>
          </w:p>
        </w:tc>
        <w:tc>
          <w:tcPr>
            <w:tcW w:w="6655" w:type="dxa"/>
          </w:tcPr>
          <w:p w:rsidR="00D607DE" w:rsidRDefault="00D607DE" w:rsidP="00280D2F">
            <w:pPr>
              <w:ind w:firstLine="0"/>
            </w:pPr>
            <w:r>
              <w:t>biomedical, pharmaceuticals</w:t>
            </w:r>
          </w:p>
        </w:tc>
      </w:tr>
      <w:tr w:rsidR="00D607DE" w:rsidTr="00280D2F">
        <w:tc>
          <w:tcPr>
            <w:tcW w:w="2695" w:type="dxa"/>
          </w:tcPr>
          <w:p w:rsidR="00D607DE" w:rsidRDefault="00D607DE" w:rsidP="00280D2F">
            <w:pPr>
              <w:ind w:firstLine="0"/>
            </w:pPr>
            <w:r>
              <w:t>Website:</w:t>
            </w:r>
          </w:p>
        </w:tc>
        <w:tc>
          <w:tcPr>
            <w:tcW w:w="6655" w:type="dxa"/>
          </w:tcPr>
          <w:p w:rsidR="00D607DE" w:rsidRDefault="00D607DE" w:rsidP="00280D2F">
            <w:pPr>
              <w:ind w:firstLine="0"/>
            </w:pPr>
            <w:r w:rsidRPr="00D607DE">
              <w:t>http://www.pfizer.com/careers/en/us-summer-student-worker-program</w:t>
            </w:r>
          </w:p>
        </w:tc>
      </w:tr>
      <w:tr w:rsidR="00D607DE" w:rsidTr="00280D2F">
        <w:tc>
          <w:tcPr>
            <w:tcW w:w="2695" w:type="dxa"/>
          </w:tcPr>
          <w:p w:rsidR="00D607DE" w:rsidRDefault="00D607DE" w:rsidP="00280D2F">
            <w:pPr>
              <w:ind w:firstLine="0"/>
            </w:pPr>
            <w:r>
              <w:t>Application Submissions:</w:t>
            </w:r>
          </w:p>
        </w:tc>
        <w:tc>
          <w:tcPr>
            <w:tcW w:w="6655" w:type="dxa"/>
          </w:tcPr>
          <w:p w:rsidR="00D607DE" w:rsidRDefault="00D607DE" w:rsidP="00280D2F">
            <w:pPr>
              <w:ind w:firstLine="0"/>
            </w:pPr>
            <w:r w:rsidRPr="00D607DE">
              <w:t>https://www2.pcrecruiter.net/pcrbin/regmenu.aspx?uid</w:t>
            </w:r>
          </w:p>
          <w:p w:rsidR="00D607DE" w:rsidRDefault="00D607DE" w:rsidP="00280D2F">
            <w:pPr>
              <w:ind w:firstLine="0"/>
            </w:pPr>
            <w:r w:rsidRPr="00D607DE">
              <w:t>=</w:t>
            </w:r>
            <w:proofErr w:type="spellStart"/>
            <w:r w:rsidRPr="00D607DE">
              <w:t>pfizer.atriumstaffing</w:t>
            </w:r>
            <w:proofErr w:type="spellEnd"/>
          </w:p>
        </w:tc>
      </w:tr>
      <w:tr w:rsidR="00D607DE" w:rsidTr="00280D2F">
        <w:tc>
          <w:tcPr>
            <w:tcW w:w="2695" w:type="dxa"/>
          </w:tcPr>
          <w:p w:rsidR="00D607DE" w:rsidRDefault="00D607DE" w:rsidP="00280D2F">
            <w:pPr>
              <w:ind w:firstLine="0"/>
            </w:pPr>
            <w:r>
              <w:t>Application Window:</w:t>
            </w:r>
          </w:p>
        </w:tc>
        <w:tc>
          <w:tcPr>
            <w:tcW w:w="6655" w:type="dxa"/>
          </w:tcPr>
          <w:p w:rsidR="00D607DE" w:rsidRDefault="00D607DE" w:rsidP="00280D2F">
            <w:pPr>
              <w:ind w:firstLine="0"/>
            </w:pPr>
            <w:r>
              <w:t>May through August</w:t>
            </w:r>
          </w:p>
        </w:tc>
      </w:tr>
    </w:tbl>
    <w:p w:rsidR="007622EC" w:rsidRDefault="007622EC"/>
    <w:p w:rsidR="00D607DE" w:rsidRDefault="00D607DE"/>
    <w:p w:rsidR="00D607DE" w:rsidRDefault="00D607DE"/>
    <w:p w:rsidR="00D607DE" w:rsidRDefault="00D607DE"/>
    <w:p w:rsidR="00D607DE" w:rsidRDefault="00D607DE"/>
    <w:p w:rsidR="007622EC" w:rsidRDefault="004C1E75" w:rsidP="007622EC">
      <w:pPr>
        <w:spacing w:after="0"/>
        <w:ind w:firstLine="0"/>
      </w:pPr>
      <w:r>
        <w:br w:type="page"/>
      </w:r>
    </w:p>
    <w:tbl>
      <w:tblPr>
        <w:tblStyle w:val="TableGrid"/>
        <w:tblW w:w="0" w:type="auto"/>
        <w:tblLook w:val="04A0" w:firstRow="1" w:lastRow="0" w:firstColumn="1" w:lastColumn="0" w:noHBand="0" w:noVBand="1"/>
      </w:tblPr>
      <w:tblGrid>
        <w:gridCol w:w="2074"/>
        <w:gridCol w:w="7276"/>
      </w:tblGrid>
      <w:tr w:rsidR="002E09E6" w:rsidTr="009B0BBF">
        <w:tc>
          <w:tcPr>
            <w:tcW w:w="3325" w:type="dxa"/>
          </w:tcPr>
          <w:p w:rsidR="002E09E6" w:rsidRDefault="002E09E6" w:rsidP="00280D2F">
            <w:pPr>
              <w:ind w:firstLine="0"/>
            </w:pPr>
            <w:r>
              <w:lastRenderedPageBreak/>
              <w:t>Company:</w:t>
            </w:r>
          </w:p>
        </w:tc>
        <w:tc>
          <w:tcPr>
            <w:tcW w:w="6025" w:type="dxa"/>
          </w:tcPr>
          <w:p w:rsidR="002E09E6" w:rsidRDefault="002E09E6" w:rsidP="00280D2F">
            <w:pPr>
              <w:ind w:firstLine="0"/>
            </w:pPr>
            <w:r>
              <w:t>Sandia National Laboratories</w:t>
            </w:r>
          </w:p>
        </w:tc>
      </w:tr>
      <w:tr w:rsidR="002E09E6" w:rsidTr="009B0BBF">
        <w:tc>
          <w:tcPr>
            <w:tcW w:w="3325" w:type="dxa"/>
          </w:tcPr>
          <w:p w:rsidR="002E09E6" w:rsidRDefault="002E09E6" w:rsidP="00280D2F">
            <w:pPr>
              <w:ind w:firstLine="0"/>
            </w:pPr>
            <w:r>
              <w:t>Location:</w:t>
            </w:r>
          </w:p>
        </w:tc>
        <w:tc>
          <w:tcPr>
            <w:tcW w:w="6025" w:type="dxa"/>
          </w:tcPr>
          <w:p w:rsidR="002E09E6" w:rsidRDefault="002E09E6" w:rsidP="00280D2F">
            <w:pPr>
              <w:ind w:firstLine="0"/>
            </w:pPr>
            <w:r>
              <w:t>Albuquerque, NM</w:t>
            </w:r>
          </w:p>
        </w:tc>
      </w:tr>
      <w:tr w:rsidR="002E09E6" w:rsidTr="009B0BBF">
        <w:tc>
          <w:tcPr>
            <w:tcW w:w="3325" w:type="dxa"/>
          </w:tcPr>
          <w:p w:rsidR="002E09E6" w:rsidRDefault="002E09E6" w:rsidP="00280D2F">
            <w:pPr>
              <w:ind w:firstLine="0"/>
            </w:pPr>
            <w:r>
              <w:t>Program Summary:</w:t>
            </w:r>
          </w:p>
        </w:tc>
        <w:tc>
          <w:tcPr>
            <w:tcW w:w="6025" w:type="dxa"/>
          </w:tcPr>
          <w:p w:rsidR="002E09E6" w:rsidRDefault="002E09E6" w:rsidP="002E09E6">
            <w:pPr>
              <w:ind w:firstLine="0"/>
            </w:pPr>
            <w:r>
              <w:t>Each year, Sandia welcomes students from around the country—from those in their final years of high school to researchers obtaining PhDs—to work in a variety of technical and business positions. Interns work on real-world, challenging projects to contribute to critical national goals.</w:t>
            </w:r>
          </w:p>
          <w:p w:rsidR="002E09E6" w:rsidRDefault="002E09E6" w:rsidP="002E09E6">
            <w:pPr>
              <w:ind w:firstLine="0"/>
            </w:pPr>
            <w:r>
              <w:t>Many of our research internships can be experienced through technical institutes that encompass a range of disciplines, including cyber security, energy surety, engineering design, and software development. Each institute provides a team to guide and mentor interns in projects aligned with their major or area of particular technical interest. Professional development and social activities supplement project work to create an even more rewarding experience.</w:t>
            </w:r>
          </w:p>
          <w:p w:rsidR="002E09E6" w:rsidRDefault="002E09E6" w:rsidP="002E09E6">
            <w:pPr>
              <w:ind w:firstLine="0"/>
            </w:pPr>
            <w:r>
              <w:t>Our internships provide students</w:t>
            </w:r>
          </w:p>
          <w:p w:rsidR="002E09E6" w:rsidRDefault="002E09E6" w:rsidP="002E09E6">
            <w:pPr>
              <w:pStyle w:val="ListParagraph"/>
              <w:numPr>
                <w:ilvl w:val="0"/>
                <w:numId w:val="6"/>
              </w:numPr>
            </w:pPr>
            <w:r>
              <w:t>Opportunities to work on challenging projects at competitive pay</w:t>
            </w:r>
          </w:p>
          <w:p w:rsidR="002E09E6" w:rsidRDefault="002E09E6" w:rsidP="002E09E6">
            <w:pPr>
              <w:pStyle w:val="ListParagraph"/>
              <w:numPr>
                <w:ilvl w:val="0"/>
                <w:numId w:val="6"/>
              </w:numPr>
            </w:pPr>
            <w:r>
              <w:t>Academic credits for some co-op and other internships</w:t>
            </w:r>
          </w:p>
          <w:p w:rsidR="002E09E6" w:rsidRDefault="002E09E6" w:rsidP="002E09E6">
            <w:pPr>
              <w:pStyle w:val="ListParagraph"/>
              <w:numPr>
                <w:ilvl w:val="0"/>
                <w:numId w:val="6"/>
              </w:numPr>
            </w:pPr>
            <w:r>
              <w:t>Research mentoring from top scientists and engineers</w:t>
            </w:r>
          </w:p>
          <w:p w:rsidR="002E09E6" w:rsidRDefault="002E09E6" w:rsidP="002E09E6">
            <w:pPr>
              <w:pStyle w:val="ListParagraph"/>
              <w:numPr>
                <w:ilvl w:val="0"/>
                <w:numId w:val="6"/>
              </w:numPr>
            </w:pPr>
            <w:r>
              <w:t>Training and practical work experience using state-of-the-art equipment and instruments</w:t>
            </w:r>
          </w:p>
          <w:p w:rsidR="002E09E6" w:rsidRPr="004C1E75" w:rsidRDefault="002E09E6" w:rsidP="002E09E6">
            <w:pPr>
              <w:ind w:firstLine="0"/>
            </w:pPr>
            <w:r>
              <w:t xml:space="preserve">In some cases, internships can also lead to an offer of full-time employment.  </w:t>
            </w:r>
          </w:p>
        </w:tc>
      </w:tr>
      <w:tr w:rsidR="002E09E6" w:rsidTr="009B0BBF">
        <w:tc>
          <w:tcPr>
            <w:tcW w:w="3325" w:type="dxa"/>
          </w:tcPr>
          <w:p w:rsidR="002E09E6" w:rsidRDefault="002E09E6" w:rsidP="00280D2F">
            <w:pPr>
              <w:ind w:firstLine="0"/>
            </w:pPr>
            <w:r>
              <w:t>Application Areas:</w:t>
            </w:r>
          </w:p>
        </w:tc>
        <w:tc>
          <w:tcPr>
            <w:tcW w:w="6025" w:type="dxa"/>
          </w:tcPr>
          <w:p w:rsidR="002E09E6" w:rsidRDefault="002E09E6" w:rsidP="00280D2F">
            <w:pPr>
              <w:ind w:firstLine="0"/>
            </w:pPr>
            <w:r>
              <w:t>Defense</w:t>
            </w:r>
          </w:p>
        </w:tc>
      </w:tr>
      <w:tr w:rsidR="002E09E6" w:rsidTr="009B0BBF">
        <w:tc>
          <w:tcPr>
            <w:tcW w:w="3325" w:type="dxa"/>
          </w:tcPr>
          <w:p w:rsidR="002E09E6" w:rsidRDefault="002E09E6" w:rsidP="00280D2F">
            <w:pPr>
              <w:ind w:firstLine="0"/>
            </w:pPr>
            <w:r>
              <w:t>Website:</w:t>
            </w:r>
          </w:p>
        </w:tc>
        <w:tc>
          <w:tcPr>
            <w:tcW w:w="6025" w:type="dxa"/>
          </w:tcPr>
          <w:p w:rsidR="002E09E6" w:rsidRDefault="002E09E6" w:rsidP="00280D2F">
            <w:pPr>
              <w:ind w:firstLine="0"/>
            </w:pPr>
            <w:r w:rsidRPr="002E09E6">
              <w:t>https://www.sandia.gov/careers/students_postdocs/internships/index.html</w:t>
            </w:r>
          </w:p>
        </w:tc>
      </w:tr>
      <w:tr w:rsidR="002E09E6" w:rsidTr="009B0BBF">
        <w:tc>
          <w:tcPr>
            <w:tcW w:w="3325" w:type="dxa"/>
          </w:tcPr>
          <w:p w:rsidR="002E09E6" w:rsidRDefault="002E09E6" w:rsidP="002E09E6">
            <w:pPr>
              <w:ind w:firstLine="0"/>
            </w:pPr>
            <w:r>
              <w:t>Application Submissions:</w:t>
            </w:r>
          </w:p>
        </w:tc>
        <w:tc>
          <w:tcPr>
            <w:tcW w:w="6025" w:type="dxa"/>
          </w:tcPr>
          <w:p w:rsidR="002E09E6" w:rsidRDefault="002E09E6" w:rsidP="002E09E6">
            <w:pPr>
              <w:ind w:firstLine="0"/>
            </w:pPr>
            <w:r w:rsidRPr="002E09E6">
              <w:t>https://www.sandia.gov/careers/students_postdocs/internships/index.html</w:t>
            </w:r>
          </w:p>
        </w:tc>
      </w:tr>
      <w:tr w:rsidR="002E09E6" w:rsidTr="009B0BBF">
        <w:tc>
          <w:tcPr>
            <w:tcW w:w="3325" w:type="dxa"/>
          </w:tcPr>
          <w:p w:rsidR="002E09E6" w:rsidRDefault="002E09E6" w:rsidP="00280D2F">
            <w:pPr>
              <w:ind w:firstLine="0"/>
            </w:pPr>
            <w:r>
              <w:t>Application Window:</w:t>
            </w:r>
          </w:p>
        </w:tc>
        <w:tc>
          <w:tcPr>
            <w:tcW w:w="6025" w:type="dxa"/>
          </w:tcPr>
          <w:p w:rsidR="002E09E6" w:rsidRDefault="002E09E6" w:rsidP="00280D2F">
            <w:pPr>
              <w:ind w:firstLine="0"/>
            </w:pPr>
          </w:p>
        </w:tc>
      </w:tr>
    </w:tbl>
    <w:p w:rsidR="004C1E75" w:rsidRDefault="004C1E75"/>
    <w:p w:rsidR="00EE24A6" w:rsidRDefault="00EE24A6"/>
    <w:p w:rsidR="00EE24A6" w:rsidRDefault="00EE24A6">
      <w:pPr>
        <w:spacing w:after="0"/>
        <w:ind w:firstLine="0"/>
      </w:pPr>
      <w:r>
        <w:br w:type="page"/>
      </w:r>
    </w:p>
    <w:tbl>
      <w:tblPr>
        <w:tblStyle w:val="TableGrid"/>
        <w:tblW w:w="0" w:type="auto"/>
        <w:tblLook w:val="04A0" w:firstRow="1" w:lastRow="0" w:firstColumn="1" w:lastColumn="0" w:noHBand="0" w:noVBand="1"/>
      </w:tblPr>
      <w:tblGrid>
        <w:gridCol w:w="2695"/>
        <w:gridCol w:w="6655"/>
      </w:tblGrid>
      <w:tr w:rsidR="00EE24A6" w:rsidTr="009B0BBF">
        <w:tc>
          <w:tcPr>
            <w:tcW w:w="2695" w:type="dxa"/>
          </w:tcPr>
          <w:p w:rsidR="00EE24A6" w:rsidRDefault="00EE24A6" w:rsidP="00280D2F">
            <w:pPr>
              <w:ind w:firstLine="0"/>
            </w:pPr>
            <w:r>
              <w:lastRenderedPageBreak/>
              <w:t>Company:</w:t>
            </w:r>
          </w:p>
        </w:tc>
        <w:tc>
          <w:tcPr>
            <w:tcW w:w="6655" w:type="dxa"/>
          </w:tcPr>
          <w:p w:rsidR="00EE24A6" w:rsidRDefault="00EE24A6" w:rsidP="00EE24A6">
            <w:pPr>
              <w:ind w:left="720" w:hanging="720"/>
            </w:pPr>
            <w:r>
              <w:t>Oak Ridge National Laboratory</w:t>
            </w:r>
          </w:p>
        </w:tc>
      </w:tr>
      <w:tr w:rsidR="00EE24A6" w:rsidTr="009B0BBF">
        <w:tc>
          <w:tcPr>
            <w:tcW w:w="2695" w:type="dxa"/>
          </w:tcPr>
          <w:p w:rsidR="00EE24A6" w:rsidRDefault="00EE24A6" w:rsidP="00280D2F">
            <w:pPr>
              <w:ind w:firstLine="0"/>
            </w:pPr>
            <w:r>
              <w:t>Location:</w:t>
            </w:r>
          </w:p>
        </w:tc>
        <w:tc>
          <w:tcPr>
            <w:tcW w:w="6655" w:type="dxa"/>
          </w:tcPr>
          <w:p w:rsidR="00EE24A6" w:rsidRDefault="00EE24A6" w:rsidP="00280D2F">
            <w:pPr>
              <w:ind w:firstLine="0"/>
            </w:pPr>
            <w:r>
              <w:t>Oak Ridge, TN</w:t>
            </w:r>
          </w:p>
        </w:tc>
      </w:tr>
      <w:tr w:rsidR="00EE24A6" w:rsidTr="009B0BBF">
        <w:tc>
          <w:tcPr>
            <w:tcW w:w="2695" w:type="dxa"/>
          </w:tcPr>
          <w:p w:rsidR="00EE24A6" w:rsidRDefault="00EE24A6" w:rsidP="00280D2F">
            <w:pPr>
              <w:ind w:firstLine="0"/>
            </w:pPr>
            <w:r>
              <w:t>Program Summary:</w:t>
            </w:r>
          </w:p>
        </w:tc>
        <w:tc>
          <w:tcPr>
            <w:tcW w:w="6655" w:type="dxa"/>
          </w:tcPr>
          <w:p w:rsidR="00EE24A6" w:rsidRDefault="00EE24A6" w:rsidP="00EE24A6">
            <w:pPr>
              <w:ind w:left="288" w:hanging="288"/>
            </w:pPr>
            <w:r w:rsidRPr="00EE24A6">
              <w:rPr>
                <w:b/>
                <w:bCs/>
              </w:rPr>
              <w:t>Science Undergraduate Laboratory Internship:</w:t>
            </w:r>
            <w:r>
              <w:t xml:space="preserve"> 1</w:t>
            </w:r>
            <w:r>
              <w:t>0-week summer and 16-week semester appointments engaged in a research project under the direction of a laboratory scientist/enginee</w:t>
            </w:r>
            <w:r>
              <w:t xml:space="preserve">r. </w:t>
            </w:r>
            <w:r>
              <w:t>Career development workshops/lab tours</w:t>
            </w:r>
            <w:r>
              <w:t xml:space="preserve">. </w:t>
            </w:r>
            <w:r>
              <w:t>$500 per week stipend and limited travel reimbursement/housing allowance (for those who qualify)</w:t>
            </w:r>
            <w:r>
              <w:t>.</w:t>
            </w:r>
          </w:p>
          <w:p w:rsidR="00EE24A6" w:rsidRDefault="00EE24A6" w:rsidP="00EE24A6">
            <w:pPr>
              <w:ind w:left="288" w:hanging="288"/>
            </w:pPr>
            <w:r w:rsidRPr="00EE24A6">
              <w:rPr>
                <w:b/>
                <w:bCs/>
              </w:rPr>
              <w:t>The Higher Education Research Experiences (HERE)</w:t>
            </w:r>
            <w:r>
              <w:rPr>
                <w:b/>
                <w:bCs/>
              </w:rPr>
              <w:t xml:space="preserve">: </w:t>
            </w:r>
            <w:r w:rsidRPr="00EE24A6">
              <w:t>The HERE program at Oak Ridge National Laboratory (ORNL) provides opportunities for participation in research and related technical activities to qualified current undergraduates. This educational experience offers selected participants the ability to learn from world-class scientists while utilizing the unique resources of ORNL and encourages careers in the science, technology, engineering, and mathematics (STEM) and support fields.</w:t>
            </w:r>
          </w:p>
          <w:p w:rsidR="00EE24A6" w:rsidRDefault="00EE24A6" w:rsidP="00EE24A6">
            <w:pPr>
              <w:ind w:left="288" w:hanging="288"/>
            </w:pPr>
            <w:r w:rsidRPr="00EE24A6">
              <w:rPr>
                <w:b/>
                <w:bCs/>
              </w:rPr>
              <w:t>IACMI Internship Program:</w:t>
            </w:r>
            <w:r>
              <w:t xml:space="preserve"> </w:t>
            </w:r>
            <w:r w:rsidRPr="00EE24A6">
              <w:t>The Institute for Advanced Composite Manufacturing Innovation (IACMI) has an interest in developing the skills of strong technical undergraduate and graduate students who might one day support the workforce in both talent and leadership. The IACMI Internship Program offers undergraduate and graduate students a chance to participate in a research experience with an assigned mentor at one of IACMI’s partner sites. The experience provides a maximum of 400 hours of participation either in a 10 week short-term appointment or a long-term appointment spanning the course of one year.</w:t>
            </w:r>
          </w:p>
          <w:p w:rsidR="00B81EF8" w:rsidRPr="004C1E75" w:rsidRDefault="00B81EF8" w:rsidP="00EE24A6">
            <w:pPr>
              <w:ind w:left="288" w:hanging="288"/>
            </w:pPr>
            <w:r w:rsidRPr="00B81EF8">
              <w:rPr>
                <w:b/>
                <w:bCs/>
              </w:rPr>
              <w:t>Lab Tech</w:t>
            </w:r>
            <w:r w:rsidRPr="00B81EF8">
              <w:rPr>
                <w:b/>
                <w:bCs/>
              </w:rPr>
              <w:t xml:space="preserve"> Program: </w:t>
            </w:r>
            <w:r w:rsidRPr="00B81EF8">
              <w:t>The Laboratory Technology Associate Program (Lab Tech) offers current undergraduate students or recent bachelor’s or associate degree graduates an opportunity to develop their technical skills at Oak Ridge National Laboratory. Opportunities are driven by ORNL needs and include both full-time and part-time opportunities. The program is designed to complement academic programs and prepare individuals for a career in the technical workforce.</w:t>
            </w:r>
          </w:p>
        </w:tc>
      </w:tr>
      <w:tr w:rsidR="00EE24A6" w:rsidTr="009B0BBF">
        <w:tc>
          <w:tcPr>
            <w:tcW w:w="2695" w:type="dxa"/>
          </w:tcPr>
          <w:p w:rsidR="00EE24A6" w:rsidRDefault="00EE24A6" w:rsidP="00280D2F">
            <w:pPr>
              <w:ind w:firstLine="0"/>
            </w:pPr>
            <w:r>
              <w:t>Application Areas:</w:t>
            </w:r>
          </w:p>
        </w:tc>
        <w:tc>
          <w:tcPr>
            <w:tcW w:w="6655" w:type="dxa"/>
          </w:tcPr>
          <w:p w:rsidR="00EE24A6" w:rsidRDefault="00EE24A6" w:rsidP="00280D2F">
            <w:pPr>
              <w:ind w:firstLine="0"/>
            </w:pPr>
            <w:r w:rsidRPr="00EE24A6">
              <w:t>materials, neutron sciences, energy, high-performance computing, systems biology and national security</w:t>
            </w:r>
          </w:p>
        </w:tc>
      </w:tr>
      <w:tr w:rsidR="00EE24A6" w:rsidTr="009B0BBF">
        <w:tc>
          <w:tcPr>
            <w:tcW w:w="2695" w:type="dxa"/>
          </w:tcPr>
          <w:p w:rsidR="00EE24A6" w:rsidRDefault="00EE24A6" w:rsidP="00280D2F">
            <w:pPr>
              <w:ind w:firstLine="0"/>
            </w:pPr>
            <w:r>
              <w:t>Website:</w:t>
            </w:r>
          </w:p>
        </w:tc>
        <w:tc>
          <w:tcPr>
            <w:tcW w:w="6655" w:type="dxa"/>
          </w:tcPr>
          <w:p w:rsidR="00EE24A6" w:rsidRDefault="00EE24A6" w:rsidP="00280D2F">
            <w:pPr>
              <w:ind w:firstLine="0"/>
            </w:pPr>
            <w:r w:rsidRPr="00EE24A6">
              <w:t>https://www.ornl.gov/directorate/nsed/educational-outreach/internships</w:t>
            </w:r>
          </w:p>
        </w:tc>
      </w:tr>
      <w:tr w:rsidR="00B81EF8" w:rsidTr="009B0BBF">
        <w:tc>
          <w:tcPr>
            <w:tcW w:w="2695" w:type="dxa"/>
          </w:tcPr>
          <w:p w:rsidR="00B81EF8" w:rsidRDefault="00B81EF8" w:rsidP="00B81EF8">
            <w:pPr>
              <w:ind w:firstLine="0"/>
            </w:pPr>
            <w:r>
              <w:t>Application Submissions:</w:t>
            </w:r>
          </w:p>
        </w:tc>
        <w:tc>
          <w:tcPr>
            <w:tcW w:w="6655" w:type="dxa"/>
          </w:tcPr>
          <w:p w:rsidR="00B81EF8" w:rsidRDefault="00B81EF8" w:rsidP="00B81EF8">
            <w:pPr>
              <w:ind w:firstLine="0"/>
            </w:pPr>
            <w:r w:rsidRPr="00EE24A6">
              <w:t>https://www.ornl.gov/directorate/nsed/educational-outreach/internships</w:t>
            </w:r>
          </w:p>
        </w:tc>
      </w:tr>
      <w:tr w:rsidR="00B81EF8" w:rsidTr="009B0BBF">
        <w:tc>
          <w:tcPr>
            <w:tcW w:w="2695" w:type="dxa"/>
          </w:tcPr>
          <w:p w:rsidR="00B81EF8" w:rsidRDefault="00B81EF8" w:rsidP="00B81EF8">
            <w:pPr>
              <w:ind w:firstLine="0"/>
            </w:pPr>
            <w:r>
              <w:lastRenderedPageBreak/>
              <w:t>Application Window:</w:t>
            </w:r>
          </w:p>
        </w:tc>
        <w:tc>
          <w:tcPr>
            <w:tcW w:w="6655" w:type="dxa"/>
          </w:tcPr>
          <w:p w:rsidR="00B81EF8" w:rsidRDefault="00B81EF8" w:rsidP="00B81EF8">
            <w:pPr>
              <w:ind w:firstLine="0"/>
            </w:pPr>
          </w:p>
        </w:tc>
      </w:tr>
    </w:tbl>
    <w:p w:rsidR="00EE24A6" w:rsidRDefault="00EE24A6"/>
    <w:p w:rsidR="00EE24A6" w:rsidRDefault="00EE24A6"/>
    <w:tbl>
      <w:tblPr>
        <w:tblStyle w:val="TableGrid"/>
        <w:tblW w:w="0" w:type="auto"/>
        <w:tblLook w:val="04A0" w:firstRow="1" w:lastRow="0" w:firstColumn="1" w:lastColumn="0" w:noHBand="0" w:noVBand="1"/>
      </w:tblPr>
      <w:tblGrid>
        <w:gridCol w:w="2695"/>
        <w:gridCol w:w="6655"/>
      </w:tblGrid>
      <w:tr w:rsidR="00E4327A" w:rsidTr="009B0BBF">
        <w:tc>
          <w:tcPr>
            <w:tcW w:w="2695" w:type="dxa"/>
          </w:tcPr>
          <w:p w:rsidR="00E4327A" w:rsidRDefault="00E4327A" w:rsidP="00280D2F">
            <w:pPr>
              <w:ind w:firstLine="0"/>
            </w:pPr>
            <w:r>
              <w:t>Company:</w:t>
            </w:r>
          </w:p>
        </w:tc>
        <w:tc>
          <w:tcPr>
            <w:tcW w:w="6655" w:type="dxa"/>
          </w:tcPr>
          <w:p w:rsidR="00E4327A" w:rsidRDefault="009B0BBF" w:rsidP="00280D2F">
            <w:pPr>
              <w:ind w:firstLine="0"/>
            </w:pPr>
            <w:r>
              <w:t>Lockheed Martin</w:t>
            </w:r>
          </w:p>
        </w:tc>
      </w:tr>
      <w:tr w:rsidR="00E4327A" w:rsidTr="009B0BBF">
        <w:tc>
          <w:tcPr>
            <w:tcW w:w="2695" w:type="dxa"/>
          </w:tcPr>
          <w:p w:rsidR="00E4327A" w:rsidRDefault="00E4327A" w:rsidP="00280D2F">
            <w:pPr>
              <w:ind w:firstLine="0"/>
            </w:pPr>
            <w:r>
              <w:t>Location:</w:t>
            </w:r>
          </w:p>
        </w:tc>
        <w:tc>
          <w:tcPr>
            <w:tcW w:w="6655" w:type="dxa"/>
          </w:tcPr>
          <w:p w:rsidR="00E4327A" w:rsidRDefault="009B0BBF" w:rsidP="00280D2F">
            <w:pPr>
              <w:ind w:firstLine="0"/>
            </w:pPr>
            <w:r>
              <w:t>Multiple</w:t>
            </w:r>
          </w:p>
        </w:tc>
      </w:tr>
      <w:tr w:rsidR="00E4327A" w:rsidTr="009B0BBF">
        <w:tc>
          <w:tcPr>
            <w:tcW w:w="2695" w:type="dxa"/>
          </w:tcPr>
          <w:p w:rsidR="00E4327A" w:rsidRDefault="00E4327A" w:rsidP="00280D2F">
            <w:pPr>
              <w:ind w:firstLine="0"/>
            </w:pPr>
            <w:r>
              <w:t>Program Summary:</w:t>
            </w:r>
          </w:p>
        </w:tc>
        <w:tc>
          <w:tcPr>
            <w:tcW w:w="6655" w:type="dxa"/>
          </w:tcPr>
          <w:p w:rsidR="009B0BBF" w:rsidRDefault="00E4327A" w:rsidP="009B0BBF">
            <w:pPr>
              <w:ind w:firstLine="0"/>
            </w:pPr>
            <w:r>
              <w:t xml:space="preserve"> </w:t>
            </w:r>
            <w:r w:rsidR="009B0BBF">
              <w:t>As an intern or co-op, you will contribute to some of the world’s most challenging projects, working side by side with knowledgeable and experienced professionals. Start your career in a meaningful way: serving an important mission that relies on you finding the best way to support innovative breakthroughs. All internships and co-ops offer the chance to gain real-world experience. But few can offer you an opportunity to make a real impact on the world.</w:t>
            </w:r>
          </w:p>
          <w:p w:rsidR="00E4327A" w:rsidRPr="004C1E75" w:rsidRDefault="009B0BBF" w:rsidP="009B0BBF">
            <w:pPr>
              <w:ind w:firstLine="0"/>
            </w:pPr>
            <w:r>
              <w:t>At Lockheed Martin, our student programs are open to all Engineering majors, as well as Mathematics, Physics, Business, Finance, Supply Chain, HR and associated disciplines – and could be the perfect way for you to catapult your career into the future of technology and creativity. You could develop new systems to be deployed in space, cyberspace or military arenas. You could help design and manufacture breakthrough products for air, land or maritime applications. Or you could analyze business unit operations for greater efficiency and profitability. However you spend your time in one of our student programs, you'll be exposed to a wealth of knowledge and experience, and very likely transition into a full-time, salaried role at Lockheed Martin.</w:t>
            </w:r>
          </w:p>
        </w:tc>
      </w:tr>
      <w:tr w:rsidR="00E4327A" w:rsidTr="009B0BBF">
        <w:tc>
          <w:tcPr>
            <w:tcW w:w="2695" w:type="dxa"/>
          </w:tcPr>
          <w:p w:rsidR="00E4327A" w:rsidRDefault="00E4327A" w:rsidP="00280D2F">
            <w:pPr>
              <w:ind w:firstLine="0"/>
            </w:pPr>
            <w:r>
              <w:t>Application Areas:</w:t>
            </w:r>
          </w:p>
        </w:tc>
        <w:tc>
          <w:tcPr>
            <w:tcW w:w="6655" w:type="dxa"/>
          </w:tcPr>
          <w:p w:rsidR="00E4327A" w:rsidRDefault="009B0BBF" w:rsidP="00280D2F">
            <w:pPr>
              <w:ind w:firstLine="0"/>
            </w:pPr>
            <w:r>
              <w:t>Defense, aerospace</w:t>
            </w:r>
          </w:p>
        </w:tc>
      </w:tr>
      <w:tr w:rsidR="00E4327A" w:rsidTr="009B0BBF">
        <w:tc>
          <w:tcPr>
            <w:tcW w:w="2695" w:type="dxa"/>
          </w:tcPr>
          <w:p w:rsidR="00E4327A" w:rsidRDefault="00E4327A" w:rsidP="00280D2F">
            <w:pPr>
              <w:ind w:firstLine="0"/>
            </w:pPr>
            <w:r>
              <w:t>Website:</w:t>
            </w:r>
          </w:p>
        </w:tc>
        <w:tc>
          <w:tcPr>
            <w:tcW w:w="6655" w:type="dxa"/>
          </w:tcPr>
          <w:p w:rsidR="00E4327A" w:rsidRDefault="009B0BBF" w:rsidP="00280D2F">
            <w:pPr>
              <w:ind w:firstLine="0"/>
            </w:pPr>
            <w:r w:rsidRPr="009B0BBF">
              <w:t>https://www.lockheedmartinjobs.com/college-students</w:t>
            </w:r>
          </w:p>
        </w:tc>
      </w:tr>
      <w:tr w:rsidR="00E4327A" w:rsidTr="009B0BBF">
        <w:tc>
          <w:tcPr>
            <w:tcW w:w="2695" w:type="dxa"/>
          </w:tcPr>
          <w:p w:rsidR="00E4327A" w:rsidRDefault="00E4327A" w:rsidP="00280D2F">
            <w:pPr>
              <w:ind w:firstLine="0"/>
            </w:pPr>
            <w:r>
              <w:t>Application Submissions:</w:t>
            </w:r>
          </w:p>
        </w:tc>
        <w:tc>
          <w:tcPr>
            <w:tcW w:w="6655" w:type="dxa"/>
          </w:tcPr>
          <w:p w:rsidR="009B0BBF" w:rsidRDefault="009B0BBF" w:rsidP="00280D2F">
            <w:pPr>
              <w:ind w:firstLine="0"/>
            </w:pPr>
            <w:r w:rsidRPr="009B0BBF">
              <w:t>https://www.lockheedmartinjobs.com/search-jobs/ALL?orgIds=694&amp;alp=ALL&amp;alt=0&amp;ascf=</w:t>
            </w:r>
          </w:p>
          <w:p w:rsidR="00E4327A" w:rsidRDefault="009B0BBF" w:rsidP="00280D2F">
            <w:pPr>
              <w:ind w:firstLine="0"/>
            </w:pPr>
            <w:r w:rsidRPr="009B0BBF">
              <w:t>[%7B%22Key%22:%22job_status%22,%22Value%22:%22Co-op/Summer%20Intern%22%7D]&amp;</w:t>
            </w:r>
          </w:p>
        </w:tc>
      </w:tr>
      <w:tr w:rsidR="00E4327A" w:rsidTr="009B0BBF">
        <w:tc>
          <w:tcPr>
            <w:tcW w:w="2695" w:type="dxa"/>
          </w:tcPr>
          <w:p w:rsidR="00E4327A" w:rsidRDefault="00E4327A" w:rsidP="00280D2F">
            <w:pPr>
              <w:ind w:firstLine="0"/>
            </w:pPr>
            <w:r>
              <w:t>Application Window:</w:t>
            </w:r>
          </w:p>
        </w:tc>
        <w:tc>
          <w:tcPr>
            <w:tcW w:w="6655" w:type="dxa"/>
          </w:tcPr>
          <w:p w:rsidR="00E4327A" w:rsidRDefault="00E4327A" w:rsidP="00280D2F">
            <w:pPr>
              <w:ind w:firstLine="0"/>
            </w:pPr>
          </w:p>
        </w:tc>
      </w:tr>
    </w:tbl>
    <w:p w:rsidR="00EE24A6" w:rsidRDefault="00EE24A6"/>
    <w:p w:rsidR="009B0BBF" w:rsidRDefault="009B0BBF"/>
    <w:p w:rsidR="009B0BBF" w:rsidRDefault="009B0BBF">
      <w:pPr>
        <w:spacing w:after="0"/>
        <w:ind w:firstLine="0"/>
      </w:pPr>
      <w:r>
        <w:br w:type="page"/>
      </w:r>
    </w:p>
    <w:tbl>
      <w:tblPr>
        <w:tblStyle w:val="TableGrid"/>
        <w:tblW w:w="0" w:type="auto"/>
        <w:tblLook w:val="04A0" w:firstRow="1" w:lastRow="0" w:firstColumn="1" w:lastColumn="0" w:noHBand="0" w:noVBand="1"/>
      </w:tblPr>
      <w:tblGrid>
        <w:gridCol w:w="2785"/>
        <w:gridCol w:w="6565"/>
      </w:tblGrid>
      <w:tr w:rsidR="009B0BBF" w:rsidTr="009B0BBF">
        <w:tc>
          <w:tcPr>
            <w:tcW w:w="2785" w:type="dxa"/>
          </w:tcPr>
          <w:p w:rsidR="009B0BBF" w:rsidRDefault="009B0BBF" w:rsidP="00280D2F">
            <w:pPr>
              <w:ind w:firstLine="0"/>
            </w:pPr>
            <w:r>
              <w:lastRenderedPageBreak/>
              <w:t>Company:</w:t>
            </w:r>
          </w:p>
        </w:tc>
        <w:tc>
          <w:tcPr>
            <w:tcW w:w="6565" w:type="dxa"/>
          </w:tcPr>
          <w:p w:rsidR="009B0BBF" w:rsidRDefault="009B0BBF" w:rsidP="00280D2F">
            <w:pPr>
              <w:ind w:firstLine="0"/>
            </w:pPr>
            <w:r>
              <w:t>Kimberly-Clark</w:t>
            </w:r>
          </w:p>
        </w:tc>
      </w:tr>
      <w:tr w:rsidR="009B0BBF" w:rsidTr="009B0BBF">
        <w:tc>
          <w:tcPr>
            <w:tcW w:w="2785" w:type="dxa"/>
          </w:tcPr>
          <w:p w:rsidR="009B0BBF" w:rsidRDefault="009B0BBF" w:rsidP="00280D2F">
            <w:pPr>
              <w:ind w:firstLine="0"/>
            </w:pPr>
            <w:r>
              <w:t>Location:</w:t>
            </w:r>
          </w:p>
        </w:tc>
        <w:tc>
          <w:tcPr>
            <w:tcW w:w="6565" w:type="dxa"/>
          </w:tcPr>
          <w:p w:rsidR="009B0BBF" w:rsidRDefault="009B0BBF" w:rsidP="009B0BBF">
            <w:pPr>
              <w:tabs>
                <w:tab w:val="left" w:pos="1009"/>
              </w:tabs>
              <w:ind w:firstLine="0"/>
            </w:pPr>
            <w:r>
              <w:t>Neenah, WI</w:t>
            </w:r>
          </w:p>
        </w:tc>
      </w:tr>
      <w:tr w:rsidR="009B0BBF" w:rsidTr="009B0BBF">
        <w:tc>
          <w:tcPr>
            <w:tcW w:w="2785" w:type="dxa"/>
          </w:tcPr>
          <w:p w:rsidR="009B0BBF" w:rsidRDefault="009B0BBF" w:rsidP="00280D2F">
            <w:pPr>
              <w:ind w:firstLine="0"/>
            </w:pPr>
            <w:r>
              <w:t>Program Summary:</w:t>
            </w:r>
          </w:p>
        </w:tc>
        <w:tc>
          <w:tcPr>
            <w:tcW w:w="6565" w:type="dxa"/>
          </w:tcPr>
          <w:p w:rsidR="009B0BBF" w:rsidRDefault="009B0BBF" w:rsidP="009B0BBF">
            <w:pPr>
              <w:ind w:firstLine="0"/>
            </w:pPr>
            <w:r>
              <w:t xml:space="preserve"> The purpose of Kimberly-Clark’s Co-op and intern Programs is to support our overall external recruiting efforts by building and developing a pool of qualified candidates with well documented, strong performance within the K-C co-op or intern </w:t>
            </w:r>
            <w:proofErr w:type="spellStart"/>
            <w:r>
              <w:t>proFrom</w:t>
            </w:r>
            <w:proofErr w:type="spellEnd"/>
            <w:r>
              <w:t xml:space="preserve"> Huggies® diapers to Kleenex® facial tissues, Kimberly-Clark makes the essentials for a better life. Our 58,000 global employees are changing the world for the better with innovative products that create new categories and push existing ones to a higher level. While building our business, we’re also building careers through first-class education, engaging experiences and exposure to some of the world’s most recognized brands. If fresh thinking and a passion to win inspire you, come Unleash Your Power at Kimberly-Clark. </w:t>
            </w:r>
          </w:p>
          <w:p w:rsidR="009B0BBF" w:rsidRPr="004C1E75" w:rsidRDefault="009B0BBF" w:rsidP="009B0BBF">
            <w:pPr>
              <w:ind w:firstLine="0"/>
            </w:pPr>
            <w:r>
              <w:t>The purpose of Kimberly-Clark’s Co-op and intern Programs is to support our overall external recruiting efforts by building and developing a pool of qualified candidates with well documented, strong performance within the K-C co-op or intern programs to fill our career entry, full-time openings. It provides both co-ops/interns and Kimberly-Clark, the opportunity to assess cultural fit on a trial basis prior to making a commitment to one another.</w:t>
            </w:r>
          </w:p>
        </w:tc>
      </w:tr>
      <w:tr w:rsidR="009B0BBF" w:rsidTr="009B0BBF">
        <w:tc>
          <w:tcPr>
            <w:tcW w:w="2785" w:type="dxa"/>
          </w:tcPr>
          <w:p w:rsidR="009B0BBF" w:rsidRDefault="009B0BBF" w:rsidP="00280D2F">
            <w:pPr>
              <w:ind w:firstLine="0"/>
            </w:pPr>
            <w:r>
              <w:t>Application Areas:</w:t>
            </w:r>
          </w:p>
        </w:tc>
        <w:tc>
          <w:tcPr>
            <w:tcW w:w="6565" w:type="dxa"/>
          </w:tcPr>
          <w:p w:rsidR="009B0BBF" w:rsidRDefault="009B0BBF" w:rsidP="00280D2F">
            <w:pPr>
              <w:ind w:firstLine="0"/>
            </w:pPr>
            <w:r>
              <w:t>Personal Care Products</w:t>
            </w:r>
          </w:p>
        </w:tc>
      </w:tr>
      <w:tr w:rsidR="009B0BBF" w:rsidTr="009B0BBF">
        <w:tc>
          <w:tcPr>
            <w:tcW w:w="2785" w:type="dxa"/>
          </w:tcPr>
          <w:p w:rsidR="009B0BBF" w:rsidRDefault="009B0BBF" w:rsidP="00280D2F">
            <w:pPr>
              <w:ind w:firstLine="0"/>
            </w:pPr>
            <w:r>
              <w:t>Website:</w:t>
            </w:r>
          </w:p>
        </w:tc>
        <w:tc>
          <w:tcPr>
            <w:tcW w:w="6565" w:type="dxa"/>
          </w:tcPr>
          <w:p w:rsidR="009B0BBF" w:rsidRDefault="009B0BBF" w:rsidP="00280D2F">
            <w:pPr>
              <w:ind w:firstLine="0"/>
            </w:pPr>
            <w:r w:rsidRPr="009B0BBF">
              <w:t>https://www.careersatkc.com/en/Our-Careers</w:t>
            </w:r>
          </w:p>
        </w:tc>
      </w:tr>
      <w:tr w:rsidR="009B0BBF" w:rsidTr="009B0BBF">
        <w:tc>
          <w:tcPr>
            <w:tcW w:w="2785" w:type="dxa"/>
          </w:tcPr>
          <w:p w:rsidR="009B0BBF" w:rsidRDefault="009B0BBF" w:rsidP="00280D2F">
            <w:pPr>
              <w:ind w:firstLine="0"/>
            </w:pPr>
            <w:r>
              <w:t>Application Submissions:</w:t>
            </w:r>
          </w:p>
        </w:tc>
        <w:tc>
          <w:tcPr>
            <w:tcW w:w="6565" w:type="dxa"/>
          </w:tcPr>
          <w:p w:rsidR="009B0BBF" w:rsidRDefault="009B0BBF" w:rsidP="00280D2F">
            <w:pPr>
              <w:ind w:firstLine="0"/>
            </w:pPr>
            <w:r w:rsidRPr="009B0BBF">
              <w:t>https://www.careersatkc.com/en/Our-Careers</w:t>
            </w:r>
          </w:p>
        </w:tc>
      </w:tr>
      <w:tr w:rsidR="009B0BBF" w:rsidTr="009B0BBF">
        <w:tc>
          <w:tcPr>
            <w:tcW w:w="2785" w:type="dxa"/>
          </w:tcPr>
          <w:p w:rsidR="009B0BBF" w:rsidRDefault="009B0BBF" w:rsidP="00280D2F">
            <w:pPr>
              <w:ind w:firstLine="0"/>
            </w:pPr>
            <w:r>
              <w:t>Application Window:</w:t>
            </w:r>
          </w:p>
        </w:tc>
        <w:tc>
          <w:tcPr>
            <w:tcW w:w="6565" w:type="dxa"/>
          </w:tcPr>
          <w:p w:rsidR="009B0BBF" w:rsidRDefault="009B0BBF" w:rsidP="00280D2F">
            <w:pPr>
              <w:ind w:firstLine="0"/>
            </w:pPr>
          </w:p>
        </w:tc>
      </w:tr>
    </w:tbl>
    <w:p w:rsidR="009B0BBF" w:rsidRDefault="009B0BBF"/>
    <w:p w:rsidR="00395CBC" w:rsidRDefault="00395CBC"/>
    <w:p w:rsidR="00395CBC" w:rsidRDefault="00395CBC">
      <w:pPr>
        <w:spacing w:after="0"/>
        <w:ind w:firstLine="0"/>
      </w:pPr>
      <w:r>
        <w:br w:type="page"/>
      </w:r>
    </w:p>
    <w:tbl>
      <w:tblPr>
        <w:tblStyle w:val="TableGrid"/>
        <w:tblW w:w="0" w:type="auto"/>
        <w:tblLook w:val="04A0" w:firstRow="1" w:lastRow="0" w:firstColumn="1" w:lastColumn="0" w:noHBand="0" w:noVBand="1"/>
      </w:tblPr>
      <w:tblGrid>
        <w:gridCol w:w="2785"/>
        <w:gridCol w:w="6565"/>
      </w:tblGrid>
      <w:tr w:rsidR="00395CBC" w:rsidTr="00280D2F">
        <w:tc>
          <w:tcPr>
            <w:tcW w:w="2785" w:type="dxa"/>
          </w:tcPr>
          <w:p w:rsidR="00395CBC" w:rsidRDefault="00395CBC" w:rsidP="00280D2F">
            <w:pPr>
              <w:ind w:firstLine="0"/>
            </w:pPr>
            <w:r>
              <w:lastRenderedPageBreak/>
              <w:t>Company:</w:t>
            </w:r>
          </w:p>
        </w:tc>
        <w:tc>
          <w:tcPr>
            <w:tcW w:w="6565" w:type="dxa"/>
          </w:tcPr>
          <w:p w:rsidR="00395CBC" w:rsidRDefault="00395CBC" w:rsidP="00280D2F">
            <w:pPr>
              <w:ind w:firstLine="0"/>
            </w:pPr>
            <w:r>
              <w:t>Procter &amp; Gamble</w:t>
            </w:r>
          </w:p>
        </w:tc>
      </w:tr>
      <w:tr w:rsidR="00395CBC" w:rsidTr="00280D2F">
        <w:tc>
          <w:tcPr>
            <w:tcW w:w="2785" w:type="dxa"/>
          </w:tcPr>
          <w:p w:rsidR="00395CBC" w:rsidRDefault="00395CBC" w:rsidP="00280D2F">
            <w:pPr>
              <w:ind w:firstLine="0"/>
            </w:pPr>
            <w:r>
              <w:t>Location:</w:t>
            </w:r>
          </w:p>
        </w:tc>
        <w:tc>
          <w:tcPr>
            <w:tcW w:w="6565" w:type="dxa"/>
          </w:tcPr>
          <w:p w:rsidR="00395CBC" w:rsidRDefault="00395CBC" w:rsidP="00280D2F">
            <w:pPr>
              <w:tabs>
                <w:tab w:val="left" w:pos="1009"/>
              </w:tabs>
              <w:ind w:firstLine="0"/>
            </w:pPr>
            <w:proofErr w:type="spellStart"/>
            <w:r>
              <w:t>Cincinatti</w:t>
            </w:r>
            <w:proofErr w:type="spellEnd"/>
            <w:r>
              <w:t>, OH</w:t>
            </w:r>
          </w:p>
        </w:tc>
      </w:tr>
      <w:tr w:rsidR="00395CBC" w:rsidTr="00280D2F">
        <w:tc>
          <w:tcPr>
            <w:tcW w:w="2785" w:type="dxa"/>
          </w:tcPr>
          <w:p w:rsidR="00395CBC" w:rsidRDefault="00395CBC" w:rsidP="00280D2F">
            <w:pPr>
              <w:ind w:firstLine="0"/>
            </w:pPr>
            <w:r>
              <w:t>Program Summary:</w:t>
            </w:r>
          </w:p>
        </w:tc>
        <w:tc>
          <w:tcPr>
            <w:tcW w:w="6565" w:type="dxa"/>
          </w:tcPr>
          <w:p w:rsidR="00395CBC" w:rsidRDefault="00395CBC" w:rsidP="00395CBC">
            <w:pPr>
              <w:ind w:firstLine="0"/>
            </w:pPr>
            <w:r>
              <w:t>Everyone who joins P&amp;G has the opportunity to make a difference to our company and consumers working on real-world projects that touch millions of lives—even as students, interns and apprentices.</w:t>
            </w:r>
          </w:p>
          <w:p w:rsidR="00395CBC" w:rsidRDefault="00395CBC" w:rsidP="00395CBC">
            <w:pPr>
              <w:ind w:firstLine="0"/>
            </w:pPr>
            <w:r>
              <w:t>From Day 1, you’ll be immersed in a leadership-driven culture, you’ll be given real responsibility that will increase over time into independent leadership of your area of activities. This experience and exposure, as well as first-class learning, will help you develop new skills for success. And as you progress, we’ll work together to match your talents and aspirations with our business opportunities to find your perfect next assignment.</w:t>
            </w:r>
          </w:p>
          <w:p w:rsidR="00395CBC" w:rsidRPr="004C1E75" w:rsidRDefault="00395CBC" w:rsidP="00395CBC">
            <w:pPr>
              <w:ind w:firstLine="0"/>
            </w:pPr>
            <w:r>
              <w:t>We provide opportunities for students and early graduates to join P&amp;G on traineeships, internships, and development programs, and each guarantees you the opportunity to do something that matters.</w:t>
            </w:r>
          </w:p>
        </w:tc>
      </w:tr>
      <w:tr w:rsidR="00395CBC" w:rsidTr="00280D2F">
        <w:tc>
          <w:tcPr>
            <w:tcW w:w="2785" w:type="dxa"/>
          </w:tcPr>
          <w:p w:rsidR="00395CBC" w:rsidRDefault="00395CBC" w:rsidP="00280D2F">
            <w:pPr>
              <w:ind w:firstLine="0"/>
            </w:pPr>
            <w:r>
              <w:t>Application Areas:</w:t>
            </w:r>
          </w:p>
        </w:tc>
        <w:tc>
          <w:tcPr>
            <w:tcW w:w="6565" w:type="dxa"/>
          </w:tcPr>
          <w:p w:rsidR="00395CBC" w:rsidRDefault="00395CBC" w:rsidP="00280D2F">
            <w:pPr>
              <w:ind w:firstLine="0"/>
            </w:pPr>
            <w:r>
              <w:t>Personal Care Products</w:t>
            </w:r>
          </w:p>
        </w:tc>
      </w:tr>
      <w:tr w:rsidR="00395CBC" w:rsidTr="00280D2F">
        <w:tc>
          <w:tcPr>
            <w:tcW w:w="2785" w:type="dxa"/>
          </w:tcPr>
          <w:p w:rsidR="00395CBC" w:rsidRDefault="00395CBC" w:rsidP="00280D2F">
            <w:pPr>
              <w:ind w:firstLine="0"/>
            </w:pPr>
            <w:r>
              <w:t>Website:</w:t>
            </w:r>
          </w:p>
        </w:tc>
        <w:tc>
          <w:tcPr>
            <w:tcW w:w="6565" w:type="dxa"/>
          </w:tcPr>
          <w:p w:rsidR="00395CBC" w:rsidRDefault="00395CBC" w:rsidP="00280D2F">
            <w:pPr>
              <w:ind w:firstLine="0"/>
            </w:pPr>
            <w:r w:rsidRPr="00395CBC">
              <w:t>https://www.pgcareers.com/students</w:t>
            </w:r>
          </w:p>
        </w:tc>
      </w:tr>
      <w:tr w:rsidR="00395CBC" w:rsidTr="00280D2F">
        <w:tc>
          <w:tcPr>
            <w:tcW w:w="2785" w:type="dxa"/>
          </w:tcPr>
          <w:p w:rsidR="00395CBC" w:rsidRDefault="00395CBC" w:rsidP="00280D2F">
            <w:pPr>
              <w:ind w:firstLine="0"/>
            </w:pPr>
            <w:r>
              <w:t>Application Submissions:</w:t>
            </w:r>
          </w:p>
        </w:tc>
        <w:tc>
          <w:tcPr>
            <w:tcW w:w="6565" w:type="dxa"/>
          </w:tcPr>
          <w:p w:rsidR="00395CBC" w:rsidRDefault="00395CBC" w:rsidP="00280D2F">
            <w:pPr>
              <w:ind w:firstLine="0"/>
            </w:pPr>
            <w:r w:rsidRPr="00395CBC">
              <w:t>https://www.pgcareers.com/search-jobs/?fcf=</w:t>
            </w:r>
          </w:p>
          <w:p w:rsidR="00395CBC" w:rsidRDefault="00395CBC" w:rsidP="00280D2F">
            <w:pPr>
              <w:ind w:firstLine="0"/>
            </w:pPr>
            <w:r w:rsidRPr="00395CBC">
              <w:t>%5b%7b%22Value%22:%22Internships%22,</w:t>
            </w:r>
          </w:p>
          <w:p w:rsidR="00395CBC" w:rsidRDefault="00395CBC" w:rsidP="00280D2F">
            <w:pPr>
              <w:ind w:firstLine="0"/>
            </w:pPr>
            <w:r w:rsidRPr="00395CBC">
              <w:t>%22Key%22:%22job_level%22%7d%5d]</w:t>
            </w:r>
          </w:p>
        </w:tc>
      </w:tr>
      <w:tr w:rsidR="00395CBC" w:rsidTr="00280D2F">
        <w:tc>
          <w:tcPr>
            <w:tcW w:w="2785" w:type="dxa"/>
          </w:tcPr>
          <w:p w:rsidR="00395CBC" w:rsidRDefault="00395CBC" w:rsidP="00280D2F">
            <w:pPr>
              <w:ind w:firstLine="0"/>
            </w:pPr>
            <w:r>
              <w:t>Application Window:</w:t>
            </w:r>
          </w:p>
        </w:tc>
        <w:tc>
          <w:tcPr>
            <w:tcW w:w="6565" w:type="dxa"/>
          </w:tcPr>
          <w:p w:rsidR="00395CBC" w:rsidRDefault="00395CBC" w:rsidP="00280D2F">
            <w:pPr>
              <w:ind w:firstLine="0"/>
            </w:pPr>
          </w:p>
        </w:tc>
      </w:tr>
    </w:tbl>
    <w:p w:rsidR="00395CBC" w:rsidRDefault="00395CBC"/>
    <w:p w:rsidR="00395CBC" w:rsidRDefault="00395CBC"/>
    <w:p w:rsidR="007D6254" w:rsidRDefault="007D6254">
      <w:bookmarkStart w:id="0" w:name="_GoBack"/>
      <w:bookmarkEnd w:id="0"/>
    </w:p>
    <w:p w:rsidR="00395CBC" w:rsidRDefault="00395CBC"/>
    <w:sectPr w:rsidR="00395CBC" w:rsidSect="00206C9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6C5" w:rsidRDefault="00AE76C5" w:rsidP="00E4327A">
      <w:pPr>
        <w:spacing w:after="0"/>
      </w:pPr>
      <w:r>
        <w:separator/>
      </w:r>
    </w:p>
  </w:endnote>
  <w:endnote w:type="continuationSeparator" w:id="0">
    <w:p w:rsidR="00AE76C5" w:rsidRDefault="00AE76C5" w:rsidP="00E43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auto"/>
    <w:pitch w:val="variable"/>
    <w:sig w:usb0="E0002AFF" w:usb1="D000205A"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7027754"/>
      <w:docPartObj>
        <w:docPartGallery w:val="Page Numbers (Bottom of Page)"/>
        <w:docPartUnique/>
      </w:docPartObj>
    </w:sdtPr>
    <w:sdtContent>
      <w:p w:rsidR="00E4327A" w:rsidRDefault="00E4327A" w:rsidP="00DE5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4327A" w:rsidRDefault="00E4327A" w:rsidP="00E432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7523182"/>
      <w:docPartObj>
        <w:docPartGallery w:val="Page Numbers (Bottom of Page)"/>
        <w:docPartUnique/>
      </w:docPartObj>
    </w:sdtPr>
    <w:sdtContent>
      <w:p w:rsidR="00E4327A" w:rsidRDefault="00E4327A" w:rsidP="00DE5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4327A" w:rsidRDefault="00E4327A" w:rsidP="00E432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6C5" w:rsidRDefault="00AE76C5" w:rsidP="00E4327A">
      <w:pPr>
        <w:spacing w:after="0"/>
      </w:pPr>
      <w:r>
        <w:separator/>
      </w:r>
    </w:p>
  </w:footnote>
  <w:footnote w:type="continuationSeparator" w:id="0">
    <w:p w:rsidR="00AE76C5" w:rsidRDefault="00AE76C5" w:rsidP="00E432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4AF4"/>
    <w:multiLevelType w:val="multilevel"/>
    <w:tmpl w:val="28F80924"/>
    <w:lvl w:ilvl="0">
      <w:start w:val="1"/>
      <w:numFmt w:val="decimal"/>
      <w:pStyle w:val="Heading1"/>
      <w:lvlText w:val="%1"/>
      <w:lvlJc w:val="left"/>
      <w:pPr>
        <w:ind w:left="720" w:hanging="720"/>
      </w:pPr>
      <w:rPr>
        <w:rFonts w:ascii="Arial" w:hAnsi="Arial" w:hint="default"/>
        <w:b/>
        <w:i w:val="0"/>
        <w:caps w:val="0"/>
        <w:strike w:val="0"/>
        <w:dstrike w:val="0"/>
        <w:vanish w:val="0"/>
        <w:color w:val="003369"/>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656" w:hanging="576"/>
      </w:pPr>
      <w:rPr>
        <w:rFonts w:hint="default"/>
      </w:rPr>
    </w:lvl>
    <w:lvl w:ilvl="2">
      <w:start w:val="1"/>
      <w:numFmt w:val="decimal"/>
      <w:pStyle w:val="Heading3"/>
      <w:lvlText w:val="%1.%2.%3"/>
      <w:lvlJc w:val="left"/>
      <w:pPr>
        <w:ind w:left="1008" w:hanging="720"/>
      </w:pPr>
      <w:rPr>
        <w:rFonts w:hint="default"/>
      </w:rPr>
    </w:lvl>
    <w:lvl w:ilvl="3">
      <w:start w:val="1"/>
      <w:numFmt w:val="decimal"/>
      <w:lvlText w:val="%1.%2.%3.%4"/>
      <w:lvlJc w:val="left"/>
      <w:pPr>
        <w:ind w:left="1152" w:hanging="864"/>
      </w:pPr>
      <w:rPr>
        <w:rFonts w:hint="default"/>
      </w:rPr>
    </w:lvl>
    <w:lvl w:ilvl="4">
      <w:start w:val="1"/>
      <w:numFmt w:val="decimal"/>
      <w:lvlText w:val="%1.%2.%3.%4.%5"/>
      <w:lvlJc w:val="left"/>
      <w:pPr>
        <w:ind w:left="1296" w:hanging="1008"/>
      </w:pPr>
      <w:rPr>
        <w:rFonts w:hint="default"/>
      </w:rPr>
    </w:lvl>
    <w:lvl w:ilvl="5">
      <w:start w:val="1"/>
      <w:numFmt w:val="decimal"/>
      <w:lvlText w:val="%1.%2.%3.%4.%5.%6"/>
      <w:lvlJc w:val="left"/>
      <w:pPr>
        <w:ind w:left="1440" w:hanging="1152"/>
      </w:pPr>
      <w:rPr>
        <w:rFonts w:hint="default"/>
      </w:rPr>
    </w:lvl>
    <w:lvl w:ilvl="6">
      <w:start w:val="1"/>
      <w:numFmt w:val="decimal"/>
      <w:lvlText w:val="%1.%2.%3.%4.%5.%6.%7"/>
      <w:lvlJc w:val="left"/>
      <w:pPr>
        <w:ind w:left="1584" w:hanging="1296"/>
      </w:pPr>
      <w:rPr>
        <w:rFonts w:hint="default"/>
      </w:rPr>
    </w:lvl>
    <w:lvl w:ilvl="7">
      <w:start w:val="1"/>
      <w:numFmt w:val="decimal"/>
      <w:lvlText w:val="%1.%2.%3.%4.%5.%6.%7.%8"/>
      <w:lvlJc w:val="left"/>
      <w:pPr>
        <w:ind w:left="1728" w:hanging="1440"/>
      </w:pPr>
      <w:rPr>
        <w:rFonts w:hint="default"/>
      </w:rPr>
    </w:lvl>
    <w:lvl w:ilvl="8">
      <w:start w:val="1"/>
      <w:numFmt w:val="decimal"/>
      <w:lvlText w:val="%1.%2.%3.%4.%5.%6.%7.%8.%9"/>
      <w:lvlJc w:val="left"/>
      <w:pPr>
        <w:ind w:left="1872" w:hanging="1584"/>
      </w:pPr>
      <w:rPr>
        <w:rFonts w:hint="default"/>
      </w:rPr>
    </w:lvl>
  </w:abstractNum>
  <w:abstractNum w:abstractNumId="1" w15:restartNumberingAfterBreak="0">
    <w:nsid w:val="3BFF5920"/>
    <w:multiLevelType w:val="hybridMultilevel"/>
    <w:tmpl w:val="B8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F5"/>
    <w:rsid w:val="00015614"/>
    <w:rsid w:val="00030AF7"/>
    <w:rsid w:val="00041964"/>
    <w:rsid w:val="000466A1"/>
    <w:rsid w:val="000742AB"/>
    <w:rsid w:val="00206C91"/>
    <w:rsid w:val="00222FA2"/>
    <w:rsid w:val="002E09E6"/>
    <w:rsid w:val="00395CBC"/>
    <w:rsid w:val="004C1E75"/>
    <w:rsid w:val="004F0E23"/>
    <w:rsid w:val="005D6A87"/>
    <w:rsid w:val="006C0F6E"/>
    <w:rsid w:val="007008AC"/>
    <w:rsid w:val="007622EC"/>
    <w:rsid w:val="007D6254"/>
    <w:rsid w:val="009B0BBF"/>
    <w:rsid w:val="00A71A63"/>
    <w:rsid w:val="00AE76C5"/>
    <w:rsid w:val="00B81EF8"/>
    <w:rsid w:val="00B905F5"/>
    <w:rsid w:val="00BF7633"/>
    <w:rsid w:val="00D01127"/>
    <w:rsid w:val="00D607DE"/>
    <w:rsid w:val="00D64428"/>
    <w:rsid w:val="00DB7884"/>
    <w:rsid w:val="00E4327A"/>
    <w:rsid w:val="00EE24A6"/>
    <w:rsid w:val="00EF63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664E27"/>
  <w15:chartTrackingRefBased/>
  <w15:docId w15:val="{672A1846-2298-234D-82AB-01617360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614"/>
    <w:pPr>
      <w:spacing w:after="120"/>
      <w:ind w:firstLine="288"/>
    </w:pPr>
    <w:rPr>
      <w:rFonts w:ascii="Times New Roman" w:eastAsia="Cambria" w:hAnsi="Times New Roman" w:cs="Times New Roman"/>
    </w:rPr>
  </w:style>
  <w:style w:type="paragraph" w:styleId="Heading1">
    <w:name w:val="heading 1"/>
    <w:basedOn w:val="Normal"/>
    <w:next w:val="Normal"/>
    <w:link w:val="Heading1Char"/>
    <w:autoRedefine/>
    <w:qFormat/>
    <w:rsid w:val="00015614"/>
    <w:pPr>
      <w:keepNext/>
      <w:numPr>
        <w:numId w:val="5"/>
      </w:numPr>
      <w:tabs>
        <w:tab w:val="left" w:pos="432"/>
        <w:tab w:val="left" w:pos="864"/>
      </w:tabs>
      <w:spacing w:before="480" w:after="240"/>
      <w:outlineLvl w:val="0"/>
    </w:pPr>
    <w:rPr>
      <w:rFonts w:ascii="Arial" w:hAnsi="Arial" w:cs="Arial"/>
      <w:b/>
      <w:bCs/>
      <w:color w:val="44546A" w:themeColor="text2"/>
      <w:kern w:val="32"/>
      <w:sz w:val="32"/>
      <w:szCs w:val="32"/>
    </w:rPr>
  </w:style>
  <w:style w:type="paragraph" w:styleId="Heading2">
    <w:name w:val="heading 2"/>
    <w:basedOn w:val="Heading1"/>
    <w:next w:val="Normal"/>
    <w:link w:val="Heading2Char"/>
    <w:autoRedefine/>
    <w:uiPriority w:val="9"/>
    <w:unhideWhenUsed/>
    <w:qFormat/>
    <w:rsid w:val="00015614"/>
    <w:pPr>
      <w:numPr>
        <w:ilvl w:val="1"/>
      </w:numPr>
      <w:spacing w:before="360"/>
      <w:outlineLvl w:val="1"/>
    </w:pPr>
    <w:rPr>
      <w:rFonts w:eastAsia="Times New Roman" w:cstheme="minorBidi"/>
      <w:bCs w:val="0"/>
      <w:iCs/>
      <w:color w:val="003368"/>
      <w:sz w:val="28"/>
      <w:szCs w:val="28"/>
    </w:rPr>
  </w:style>
  <w:style w:type="paragraph" w:styleId="Heading3">
    <w:name w:val="heading 3"/>
    <w:basedOn w:val="Heading1"/>
    <w:next w:val="Normal"/>
    <w:link w:val="Heading3Char"/>
    <w:autoRedefine/>
    <w:uiPriority w:val="9"/>
    <w:unhideWhenUsed/>
    <w:qFormat/>
    <w:rsid w:val="00015614"/>
    <w:pPr>
      <w:numPr>
        <w:ilvl w:val="2"/>
        <w:numId w:val="1"/>
      </w:numPr>
      <w:spacing w:before="240"/>
      <w:ind w:left="1800"/>
      <w:outlineLvl w:val="2"/>
    </w:pPr>
    <w:rPr>
      <w:rFonts w:eastAsia="Times New Roman" w:cstheme="minorBidi"/>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614"/>
    <w:rPr>
      <w:rFonts w:ascii="Arial" w:hAnsi="Arial" w:cs="Arial"/>
      <w:b/>
      <w:bCs/>
      <w:color w:val="44546A" w:themeColor="text2"/>
      <w:kern w:val="32"/>
      <w:sz w:val="32"/>
      <w:szCs w:val="32"/>
    </w:rPr>
  </w:style>
  <w:style w:type="character" w:customStyle="1" w:styleId="Heading2Char">
    <w:name w:val="Heading 2 Char"/>
    <w:link w:val="Heading2"/>
    <w:uiPriority w:val="9"/>
    <w:rsid w:val="00015614"/>
    <w:rPr>
      <w:rFonts w:ascii="Arial" w:eastAsia="Times New Roman" w:hAnsi="Arial"/>
      <w:b/>
      <w:iCs/>
      <w:color w:val="003368"/>
      <w:kern w:val="32"/>
      <w:sz w:val="28"/>
      <w:szCs w:val="28"/>
    </w:rPr>
  </w:style>
  <w:style w:type="paragraph" w:styleId="Caption">
    <w:name w:val="caption"/>
    <w:basedOn w:val="Normal"/>
    <w:next w:val="Normal"/>
    <w:autoRedefine/>
    <w:qFormat/>
    <w:rsid w:val="00015614"/>
    <w:pPr>
      <w:keepLines/>
      <w:pBdr>
        <w:bottom w:val="single" w:sz="4" w:space="1" w:color="auto"/>
      </w:pBdr>
      <w:spacing w:after="240"/>
      <w:ind w:left="792" w:hanging="720"/>
      <w:contextualSpacing/>
    </w:pPr>
    <w:rPr>
      <w:rFonts w:ascii="Arial" w:hAnsi="Arial"/>
      <w:i/>
      <w:color w:val="000000" w:themeColor="text1"/>
      <w:sz w:val="22"/>
    </w:rPr>
  </w:style>
  <w:style w:type="character" w:customStyle="1" w:styleId="Heading3Char">
    <w:name w:val="Heading 3 Char"/>
    <w:link w:val="Heading3"/>
    <w:uiPriority w:val="9"/>
    <w:rsid w:val="00015614"/>
    <w:rPr>
      <w:rFonts w:ascii="Arial" w:eastAsia="Times New Roman" w:hAnsi="Arial"/>
      <w:b/>
      <w:color w:val="44546A" w:themeColor="text2"/>
      <w:kern w:val="32"/>
      <w:sz w:val="26"/>
      <w:szCs w:val="26"/>
    </w:rPr>
  </w:style>
  <w:style w:type="paragraph" w:customStyle="1" w:styleId="STSectionTItle">
    <w:name w:val="ST_Section TItle"/>
    <w:basedOn w:val="Normal"/>
    <w:qFormat/>
    <w:rsid w:val="00A71A63"/>
    <w:pPr>
      <w:spacing w:before="360" w:after="360" w:line="480" w:lineRule="auto"/>
      <w:ind w:firstLine="0"/>
      <w:jc w:val="both"/>
    </w:pPr>
    <w:rPr>
      <w:rFonts w:ascii="Times" w:eastAsia="Times New Roman" w:hAnsi="Times"/>
      <w:caps/>
      <w:szCs w:val="20"/>
      <w:lang w:eastAsia="en-US"/>
    </w:rPr>
  </w:style>
  <w:style w:type="table" w:styleId="TableGrid">
    <w:name w:val="Table Grid"/>
    <w:basedOn w:val="TableNormal"/>
    <w:uiPriority w:val="39"/>
    <w:rsid w:val="00D01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AF7"/>
    <w:rPr>
      <w:color w:val="0563C1" w:themeColor="hyperlink"/>
      <w:u w:val="single"/>
    </w:rPr>
  </w:style>
  <w:style w:type="character" w:styleId="UnresolvedMention">
    <w:name w:val="Unresolved Mention"/>
    <w:basedOn w:val="DefaultParagraphFont"/>
    <w:uiPriority w:val="99"/>
    <w:semiHidden/>
    <w:unhideWhenUsed/>
    <w:rsid w:val="00030AF7"/>
    <w:rPr>
      <w:color w:val="605E5C"/>
      <w:shd w:val="clear" w:color="auto" w:fill="E1DFDD"/>
    </w:rPr>
  </w:style>
  <w:style w:type="paragraph" w:styleId="ListParagraph">
    <w:name w:val="List Paragraph"/>
    <w:basedOn w:val="Normal"/>
    <w:uiPriority w:val="34"/>
    <w:qFormat/>
    <w:rsid w:val="002E09E6"/>
    <w:pPr>
      <w:ind w:left="720"/>
      <w:contextualSpacing/>
    </w:pPr>
  </w:style>
  <w:style w:type="paragraph" w:styleId="Footer">
    <w:name w:val="footer"/>
    <w:basedOn w:val="Normal"/>
    <w:link w:val="FooterChar"/>
    <w:uiPriority w:val="99"/>
    <w:unhideWhenUsed/>
    <w:rsid w:val="00E4327A"/>
    <w:pPr>
      <w:tabs>
        <w:tab w:val="center" w:pos="4680"/>
        <w:tab w:val="right" w:pos="9360"/>
      </w:tabs>
      <w:spacing w:after="0"/>
    </w:pPr>
  </w:style>
  <w:style w:type="character" w:customStyle="1" w:styleId="FooterChar">
    <w:name w:val="Footer Char"/>
    <w:basedOn w:val="DefaultParagraphFont"/>
    <w:link w:val="Footer"/>
    <w:uiPriority w:val="99"/>
    <w:rsid w:val="00E4327A"/>
    <w:rPr>
      <w:rFonts w:ascii="Times New Roman" w:eastAsia="Cambria" w:hAnsi="Times New Roman" w:cs="Times New Roman"/>
    </w:rPr>
  </w:style>
  <w:style w:type="character" w:styleId="PageNumber">
    <w:name w:val="page number"/>
    <w:basedOn w:val="DefaultParagraphFont"/>
    <w:uiPriority w:val="99"/>
    <w:semiHidden/>
    <w:unhideWhenUsed/>
    <w:rsid w:val="00E4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894">
      <w:bodyDiv w:val="1"/>
      <w:marLeft w:val="0"/>
      <w:marRight w:val="0"/>
      <w:marTop w:val="0"/>
      <w:marBottom w:val="0"/>
      <w:divBdr>
        <w:top w:val="none" w:sz="0" w:space="0" w:color="auto"/>
        <w:left w:val="none" w:sz="0" w:space="0" w:color="auto"/>
        <w:bottom w:val="none" w:sz="0" w:space="0" w:color="auto"/>
        <w:right w:val="none" w:sz="0" w:space="0" w:color="auto"/>
      </w:divBdr>
    </w:div>
    <w:div w:id="652486103">
      <w:bodyDiv w:val="1"/>
      <w:marLeft w:val="0"/>
      <w:marRight w:val="0"/>
      <w:marTop w:val="0"/>
      <w:marBottom w:val="0"/>
      <w:divBdr>
        <w:top w:val="none" w:sz="0" w:space="0" w:color="auto"/>
        <w:left w:val="none" w:sz="0" w:space="0" w:color="auto"/>
        <w:bottom w:val="none" w:sz="0" w:space="0" w:color="auto"/>
        <w:right w:val="none" w:sz="0" w:space="0" w:color="auto"/>
      </w:divBdr>
    </w:div>
    <w:div w:id="685790187">
      <w:bodyDiv w:val="1"/>
      <w:marLeft w:val="0"/>
      <w:marRight w:val="0"/>
      <w:marTop w:val="0"/>
      <w:marBottom w:val="0"/>
      <w:divBdr>
        <w:top w:val="none" w:sz="0" w:space="0" w:color="auto"/>
        <w:left w:val="none" w:sz="0" w:space="0" w:color="auto"/>
        <w:bottom w:val="none" w:sz="0" w:space="0" w:color="auto"/>
        <w:right w:val="none" w:sz="0" w:space="0" w:color="auto"/>
      </w:divBdr>
    </w:div>
    <w:div w:id="830370520">
      <w:bodyDiv w:val="1"/>
      <w:marLeft w:val="0"/>
      <w:marRight w:val="0"/>
      <w:marTop w:val="0"/>
      <w:marBottom w:val="0"/>
      <w:divBdr>
        <w:top w:val="none" w:sz="0" w:space="0" w:color="auto"/>
        <w:left w:val="none" w:sz="0" w:space="0" w:color="auto"/>
        <w:bottom w:val="none" w:sz="0" w:space="0" w:color="auto"/>
        <w:right w:val="none" w:sz="0" w:space="0" w:color="auto"/>
      </w:divBdr>
    </w:div>
    <w:div w:id="18526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Benkoski</dc:creator>
  <cp:keywords/>
  <dc:description/>
  <cp:lastModifiedBy>Jason Benkoski</cp:lastModifiedBy>
  <cp:revision>16</cp:revision>
  <dcterms:created xsi:type="dcterms:W3CDTF">2019-08-21T14:27:00Z</dcterms:created>
  <dcterms:modified xsi:type="dcterms:W3CDTF">2019-08-21T16:06:00Z</dcterms:modified>
</cp:coreProperties>
</file>